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color w:val="000000" w:themeColor="text1"/>
          <w:sz w:val="44"/>
          <w:szCs w:val="44"/>
          <w14:textFill>
            <w14:solidFill>
              <w14:schemeClr w14:val="tx1"/>
            </w14:solidFill>
          </w14:textFill>
        </w:rPr>
      </w:pPr>
    </w:p>
    <w:p>
      <w:pPr>
        <w:pStyle w:val="22"/>
        <w:spacing w:line="360" w:lineRule="auto"/>
        <w:jc w:val="center"/>
        <w:rPr>
          <w:rFonts w:ascii="仿宋" w:hAnsi="仿宋" w:eastAsia="仿宋" w:cs="仿宋"/>
          <w:b/>
          <w:bCs/>
          <w:color w:val="000000" w:themeColor="text1"/>
          <w:sz w:val="52"/>
          <w:szCs w:val="44"/>
          <w14:textFill>
            <w14:solidFill>
              <w14:schemeClr w14:val="tx1"/>
            </w14:solidFill>
          </w14:textFill>
        </w:rPr>
      </w:pPr>
      <w:r>
        <w:rPr>
          <w:rFonts w:hint="eastAsia" w:ascii="仿宋" w:hAnsi="仿宋" w:eastAsia="仿宋" w:cs="仿宋"/>
          <w:b/>
          <w:bCs/>
          <w:color w:val="000000" w:themeColor="text1"/>
          <w:sz w:val="52"/>
          <w:szCs w:val="44"/>
          <w14:textFill>
            <w14:solidFill>
              <w14:schemeClr w14:val="tx1"/>
            </w14:solidFill>
          </w14:textFill>
        </w:rPr>
        <w:t>山东科技大学幼儿园户外环境改造</w:t>
      </w:r>
    </w:p>
    <w:p>
      <w:pPr>
        <w:pStyle w:val="22"/>
        <w:spacing w:line="360" w:lineRule="auto"/>
        <w:jc w:val="center"/>
        <w:rPr>
          <w:rFonts w:ascii="仿宋" w:hAnsi="仿宋" w:eastAsia="仿宋" w:cs="仿宋"/>
          <w:b/>
          <w:bCs/>
          <w:color w:val="000000" w:themeColor="text1"/>
          <w:sz w:val="52"/>
          <w:szCs w:val="44"/>
          <w14:textFill>
            <w14:solidFill>
              <w14:schemeClr w14:val="tx1"/>
            </w14:solidFill>
          </w14:textFill>
        </w:rPr>
      </w:pPr>
      <w:r>
        <w:rPr>
          <w:rFonts w:hint="eastAsia" w:ascii="仿宋" w:hAnsi="仿宋" w:eastAsia="仿宋" w:cs="仿宋"/>
          <w:b/>
          <w:bCs/>
          <w:color w:val="000000" w:themeColor="text1"/>
          <w:sz w:val="52"/>
          <w:szCs w:val="44"/>
          <w14:textFill>
            <w14:solidFill>
              <w14:schemeClr w14:val="tx1"/>
            </w14:solidFill>
          </w14:textFill>
        </w:rPr>
        <w:t>竞争性磋商</w:t>
      </w:r>
    </w:p>
    <w:p>
      <w:pPr>
        <w:pStyle w:val="22"/>
        <w:spacing w:line="360" w:lineRule="auto"/>
        <w:jc w:val="center"/>
        <w:rPr>
          <w:rFonts w:ascii="仿宋" w:hAnsi="仿宋" w:eastAsia="仿宋" w:cs="仿宋"/>
          <w:bCs/>
          <w:color w:val="000000" w:themeColor="text1"/>
          <w:sz w:val="44"/>
          <w:szCs w:val="44"/>
          <w14:textFill>
            <w14:solidFill>
              <w14:schemeClr w14:val="tx1"/>
            </w14:solidFill>
          </w14:textFill>
        </w:rPr>
      </w:pPr>
    </w:p>
    <w:p>
      <w:pPr>
        <w:overflowPunct w:val="0"/>
        <w:autoSpaceDE w:val="0"/>
        <w:spacing w:line="360" w:lineRule="auto"/>
        <w:ind w:right="-794" w:firstLine="602" w:firstLineChars="150"/>
        <w:rPr>
          <w:rFonts w:ascii="仿宋" w:hAnsi="仿宋" w:eastAsia="仿宋" w:cs="仿宋"/>
          <w:b/>
          <w:bCs/>
          <w:color w:val="000000" w:themeColor="text1"/>
          <w:sz w:val="40"/>
          <w:szCs w:val="44"/>
          <w:highlight w:val="yellow"/>
          <w:u w:val="single"/>
          <w14:textFill>
            <w14:solidFill>
              <w14:schemeClr w14:val="tx1"/>
            </w14:solidFill>
          </w14:textFill>
        </w:rPr>
      </w:pPr>
      <w:r>
        <w:rPr>
          <w:rFonts w:hint="eastAsia" w:ascii="仿宋" w:hAnsi="仿宋" w:eastAsia="仿宋" w:cs="仿宋"/>
          <w:b/>
          <w:bCs/>
          <w:color w:val="000000" w:themeColor="text1"/>
          <w:sz w:val="40"/>
          <w:szCs w:val="44"/>
          <w14:textFill>
            <w14:solidFill>
              <w14:schemeClr w14:val="tx1"/>
            </w14:solidFill>
          </w14:textFill>
        </w:rPr>
        <w:t>项目编号：</w:t>
      </w:r>
      <w:r>
        <w:rPr>
          <w:rFonts w:hint="eastAsia" w:ascii="仿宋" w:hAnsi="仿宋" w:eastAsia="仿宋" w:cs="仿宋"/>
          <w:b/>
          <w:bCs/>
          <w:color w:val="000000" w:themeColor="text1"/>
          <w:sz w:val="40"/>
          <w:szCs w:val="44"/>
          <w:u w:val="single"/>
          <w14:textFill>
            <w14:solidFill>
              <w14:schemeClr w14:val="tx1"/>
            </w14:solidFill>
          </w14:textFill>
        </w:rPr>
        <w:t>SDSHZB2019-397</w:t>
      </w:r>
    </w:p>
    <w:p>
      <w:pPr>
        <w:snapToGrid w:val="0"/>
        <w:spacing w:line="360" w:lineRule="auto"/>
        <w:rPr>
          <w:rFonts w:ascii="仿宋" w:hAnsi="仿宋" w:eastAsia="仿宋" w:cs="仿宋"/>
          <w:bCs/>
          <w:color w:val="000000" w:themeColor="text1"/>
          <w:sz w:val="24"/>
          <w:szCs w:val="24"/>
          <w:u w:val="single"/>
          <w14:textFill>
            <w14:solidFill>
              <w14:schemeClr w14:val="tx1"/>
            </w14:solidFill>
          </w14:textFill>
        </w:rPr>
      </w:pPr>
    </w:p>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0" distR="0" simplePos="0" relativeHeight="251658240"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采购单位： 山东科技大学</w:t>
      </w:r>
    </w:p>
    <w:p>
      <w:pPr>
        <w:snapToGrid w:val="0"/>
        <w:spacing w:line="360" w:lineRule="auto"/>
        <w:jc w:val="center"/>
        <w:rPr>
          <w:rFonts w:ascii="仿宋" w:hAnsi="仿宋" w:eastAsia="仿宋" w:cs="仿宋"/>
          <w:b/>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采购代理：山东盛和招标代理有限公司</w:t>
      </w:r>
    </w:p>
    <w:p>
      <w:pPr>
        <w:snapToGrid w:val="0"/>
        <w:spacing w:line="360" w:lineRule="auto"/>
        <w:ind w:firstLine="964"/>
        <w:jc w:val="center"/>
        <w:rPr>
          <w:rFonts w:ascii="仿宋" w:hAnsi="仿宋" w:eastAsia="仿宋" w:cs="仿宋"/>
          <w:b/>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二零一九年六月</w:t>
      </w: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36"/>
          <w:szCs w:val="36"/>
          <w14:textFill>
            <w14:solidFill>
              <w14:schemeClr w14:val="tx1"/>
            </w14:solidFill>
          </w14:textFill>
        </w:rPr>
      </w:pPr>
      <w:r>
        <w:rPr>
          <w:rFonts w:ascii="仿宋" w:hAnsi="仿宋" w:eastAsia="仿宋" w:cs="仿宋"/>
          <w:color w:val="000000" w:themeColor="text1"/>
          <w:sz w:val="36"/>
          <w:szCs w:val="36"/>
          <w14:textFill>
            <w14:solidFill>
              <w14:schemeClr w14:val="tx1"/>
            </w14:solidFill>
          </w14:textFill>
        </w:rPr>
        <w:br w:type="page"/>
      </w:r>
    </w:p>
    <w:p>
      <w:pPr>
        <w:overflowPunct w:val="0"/>
        <w:autoSpaceDE w:val="0"/>
        <w:spacing w:line="360" w:lineRule="auto"/>
        <w:ind w:right="-794"/>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目 录</w:t>
      </w:r>
    </w:p>
    <w:p>
      <w:pPr>
        <w:pStyle w:val="13"/>
        <w:tabs>
          <w:tab w:val="right" w:leader="dot" w:pos="8867"/>
        </w:tabs>
        <w:ind w:left="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TOC \o "1-3" \h \z \u </w:instrText>
      </w:r>
      <w:r>
        <w:rPr>
          <w:rFonts w:hint="eastAsia" w:ascii="仿宋" w:hAnsi="仿宋" w:eastAsia="仿宋" w:cs="仿宋"/>
          <w:color w:val="000000" w:themeColor="text1"/>
          <w:sz w:val="24"/>
          <w14:textFill>
            <w14:solidFill>
              <w14:schemeClr w14:val="tx1"/>
            </w14:solidFill>
          </w14:textFill>
        </w:rPr>
        <w:fldChar w:fldCharType="separate"/>
      </w:r>
      <w:r>
        <w:fldChar w:fldCharType="begin"/>
      </w:r>
      <w:r>
        <w:instrText xml:space="preserve"> HYPERLINK \l "_Toc19425" </w:instrText>
      </w:r>
      <w:r>
        <w:fldChar w:fldCharType="separate"/>
      </w:r>
      <w:r>
        <w:rPr>
          <w:rFonts w:hint="eastAsia" w:ascii="仿宋" w:hAnsi="仿宋" w:eastAsia="仿宋" w:cs="仿宋"/>
          <w:sz w:val="24"/>
        </w:rPr>
        <w:t>一、响应须知前附件表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_Toc19425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"_Toc22239" </w:instrText>
      </w:r>
      <w:r>
        <w:fldChar w:fldCharType="separate"/>
      </w:r>
      <w:r>
        <w:rPr>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_Toc22239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"_Toc19298" </w:instrText>
      </w:r>
      <w:r>
        <w:fldChar w:fldCharType="separate"/>
      </w:r>
      <w:r>
        <w:rPr>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_Toc19298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"_Toc5524" </w:instrText>
      </w:r>
      <w:r>
        <w:fldChar w:fldCharType="separate"/>
      </w:r>
      <w:r>
        <w:rPr>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_Toc5524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"_Toc18237" </w:instrText>
      </w:r>
      <w:r>
        <w:fldChar w:fldCharType="separate"/>
      </w:r>
      <w:r>
        <w:rPr>
          <w:rFonts w:hint="eastAsia" w:ascii="仿宋" w:hAnsi="仿宋" w:eastAsia="仿宋" w:cs="仿宋"/>
          <w:sz w:val="24"/>
        </w:rPr>
        <w:t>（三） 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_Toc18237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"_Toc11061" </w:instrText>
      </w:r>
      <w:r>
        <w:fldChar w:fldCharType="separate"/>
      </w:r>
      <w:r>
        <w:rPr>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_Toc11061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"_Toc22369" </w:instrText>
      </w:r>
      <w:r>
        <w:fldChar w:fldCharType="separate"/>
      </w:r>
      <w:r>
        <w:rPr>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_Toc22369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"_Toc16849" </w:instrText>
      </w:r>
      <w:r>
        <w:fldChar w:fldCharType="separate"/>
      </w:r>
      <w:r>
        <w:rPr>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_Toc16849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"_Toc4118" </w:instrText>
      </w:r>
      <w:r>
        <w:fldChar w:fldCharType="separate"/>
      </w:r>
      <w:r>
        <w:rPr>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_Toc4118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"_Toc11577" </w:instrText>
      </w:r>
      <w:r>
        <w:fldChar w:fldCharType="separate"/>
      </w:r>
      <w:r>
        <w:rPr>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_Toc11577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"_Toc27626" </w:instrText>
      </w:r>
      <w:r>
        <w:fldChar w:fldCharType="separate"/>
      </w:r>
      <w:r>
        <w:rPr>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_Toc27626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"_Toc9151" </w:instrText>
      </w:r>
      <w: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_Toc9151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"_Toc15863" </w:instrText>
      </w:r>
      <w:r>
        <w:fldChar w:fldCharType="separate"/>
      </w:r>
      <w:r>
        <w:rPr>
          <w:rFonts w:hint="eastAsia" w:ascii="仿宋" w:hAnsi="仿宋" w:eastAsia="仿宋" w:cs="仿宋"/>
          <w:sz w:val="24"/>
          <w:szCs w:val="24"/>
        </w:rPr>
        <w:t>第四章   项目说明及工程量清单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_Toc15863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"_Toc2057" </w:instrText>
      </w:r>
      <w:r>
        <w:fldChar w:fldCharType="separate"/>
      </w:r>
      <w:r>
        <w:rPr>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_Toc2057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"_Toc8874" </w:instrText>
      </w:r>
      <w:r>
        <w:fldChar w:fldCharType="separate"/>
      </w:r>
      <w:r>
        <w:rPr>
          <w:rFonts w:hint="eastAsia" w:ascii="仿宋" w:hAnsi="仿宋" w:eastAsia="仿宋" w:cs="仿宋"/>
          <w:sz w:val="24"/>
        </w:rPr>
        <w:t>第一部分 报价函部分格式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_Toc8874 </w:instrText>
      </w:r>
      <w:r>
        <w:rPr>
          <w:rFonts w:hint="eastAsia" w:ascii="仿宋" w:hAnsi="仿宋" w:eastAsia="仿宋" w:cs="仿宋"/>
          <w:sz w:val="24"/>
        </w:rPr>
        <w:fldChar w:fldCharType="separate"/>
      </w:r>
      <w:r>
        <w:rPr>
          <w:rFonts w:hint="eastAsia" w:ascii="仿宋" w:hAnsi="仿宋" w:eastAsia="仿宋" w:cs="仿宋"/>
          <w:sz w:val="24"/>
        </w:rPr>
        <w:t>30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"_Toc31818" </w:instrText>
      </w:r>
      <w:r>
        <w:fldChar w:fldCharType="separate"/>
      </w:r>
      <w:r>
        <w:rPr>
          <w:rFonts w:hint="eastAsia" w:ascii="仿宋" w:hAnsi="仿宋" w:eastAsia="仿宋" w:cs="仿宋"/>
          <w:sz w:val="24"/>
        </w:rPr>
        <w:t>第二部分 商务部分格式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_Toc31818 </w:instrText>
      </w:r>
      <w:r>
        <w:rPr>
          <w:rFonts w:hint="eastAsia" w:ascii="仿宋" w:hAnsi="仿宋" w:eastAsia="仿宋" w:cs="仿宋"/>
          <w:sz w:val="24"/>
        </w:rPr>
        <w:fldChar w:fldCharType="separate"/>
      </w:r>
      <w:r>
        <w:rPr>
          <w:rFonts w:hint="eastAsia" w:ascii="仿宋" w:hAnsi="仿宋" w:eastAsia="仿宋" w:cs="仿宋"/>
          <w:sz w:val="24"/>
        </w:rPr>
        <w:t>33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"_Toc18128" </w:instrText>
      </w:r>
      <w:r>
        <w:fldChar w:fldCharType="separate"/>
      </w:r>
      <w:r>
        <w:rPr>
          <w:rFonts w:hint="eastAsia" w:ascii="仿宋" w:hAnsi="仿宋" w:eastAsia="仿宋" w:cs="仿宋"/>
          <w:sz w:val="24"/>
        </w:rPr>
        <w:t>第三部分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_Toc18128 </w:instrText>
      </w:r>
      <w:r>
        <w:rPr>
          <w:rFonts w:hint="eastAsia" w:ascii="仿宋" w:hAnsi="仿宋" w:eastAsia="仿宋" w:cs="仿宋"/>
          <w:sz w:val="24"/>
        </w:rPr>
        <w:fldChar w:fldCharType="separate"/>
      </w:r>
      <w:r>
        <w:rPr>
          <w:rFonts w:hint="eastAsia" w:ascii="仿宋" w:hAnsi="仿宋" w:eastAsia="仿宋" w:cs="仿宋"/>
          <w:sz w:val="24"/>
        </w:rPr>
        <w:t>34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"_Toc9539" </w:instrText>
      </w:r>
      <w:r>
        <w:fldChar w:fldCharType="separate"/>
      </w:r>
      <w:r>
        <w:rPr>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_Toc9539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"_Toc17222" </w:instrText>
      </w:r>
      <w:r>
        <w:fldChar w:fldCharType="separate"/>
      </w:r>
      <w:r>
        <w:rPr>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_Toc17222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"_Toc8916" </w:instrText>
      </w:r>
      <w:r>
        <w:fldChar w:fldCharType="separate"/>
      </w:r>
      <w:r>
        <w:rPr>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_Toc8916 </w:instrText>
      </w:r>
      <w:r>
        <w:rPr>
          <w:rFonts w:hint="eastAsia" w:ascii="仿宋" w:hAnsi="仿宋" w:eastAsia="仿宋" w:cs="仿宋"/>
          <w:sz w:val="24"/>
        </w:rPr>
        <w:fldChar w:fldCharType="separate"/>
      </w:r>
      <w:r>
        <w:rPr>
          <w:rFonts w:hint="eastAsia" w:ascii="仿宋" w:hAnsi="仿宋" w:eastAsia="仿宋" w:cs="仿宋"/>
          <w:sz w:val="24"/>
        </w:rPr>
        <w:t>42</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end"/>
      </w:r>
      <w:bookmarkStart w:id="0" w:name="_Toc535048496"/>
    </w:p>
    <w:p>
      <w:pPr>
        <w:spacing w:line="360" w:lineRule="auto"/>
        <w:jc w:val="center"/>
        <w:rPr>
          <w:rFonts w:ascii="仿宋" w:hAnsi="仿宋" w:eastAsia="仿宋" w:cs="仿宋"/>
          <w:b/>
          <w:bCs/>
          <w:color w:val="000000" w:themeColor="text1"/>
          <w:sz w:val="40"/>
          <w:szCs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r>
        <w:rPr>
          <w:rFonts w:hint="eastAsia" w:ascii="仿宋" w:hAnsi="仿宋" w:eastAsia="仿宋" w:cs="仿宋"/>
          <w:color w:val="000000" w:themeColor="text1"/>
          <w:sz w:val="40"/>
          <w:szCs w:val="24"/>
          <w14:textFill>
            <w14:solidFill>
              <w14:schemeClr w14:val="tx1"/>
            </w14:solidFill>
          </w14:textFill>
        </w:rPr>
        <w:t>第一章 响应须知及前附表</w:t>
      </w:r>
      <w:bookmarkEnd w:id="0"/>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1" w:name="_Toc535048497"/>
      <w:bookmarkStart w:id="2" w:name="_Toc19425"/>
      <w:r>
        <w:rPr>
          <w:rFonts w:hint="eastAsia" w:ascii="仿宋" w:hAnsi="仿宋" w:eastAsia="仿宋" w:cs="仿宋"/>
          <w:b w:val="0"/>
          <w:color w:val="000000" w:themeColor="text1"/>
          <w14:textFill>
            <w14:solidFill>
              <w14:schemeClr w14:val="tx1"/>
            </w14:solidFill>
          </w14:textFill>
        </w:rPr>
        <w:t>一、响应须知前附件表</w:t>
      </w:r>
      <w:bookmarkEnd w:id="1"/>
      <w:bookmarkEnd w:id="2"/>
    </w:p>
    <w:tbl>
      <w:tblPr>
        <w:tblStyle w:val="17"/>
        <w:tblW w:w="8923" w:type="dxa"/>
        <w:tblInd w:w="0" w:type="dxa"/>
        <w:tblLayout w:type="fixed"/>
        <w:tblCellMar>
          <w:top w:w="0" w:type="dxa"/>
          <w:left w:w="28" w:type="dxa"/>
          <w:bottom w:w="0" w:type="dxa"/>
          <w:right w:w="28" w:type="dxa"/>
        </w:tblCellMar>
      </w:tblPr>
      <w:tblGrid>
        <w:gridCol w:w="591"/>
        <w:gridCol w:w="8332"/>
      </w:tblGrid>
      <w:tr>
        <w:tblPrEx>
          <w:tblLayout w:type="fixed"/>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   容  规   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工程名称：山东科技大学幼儿园户外环境改造</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施工项目：幼儿园户外环境改造</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承包人：包工包料、包质量、包工期、包安全</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质量标准：合格</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pPr>
            <w:r>
              <w:rPr>
                <w:rFonts w:hint="eastAsia" w:ascii="仿宋" w:hAnsi="仿宋" w:eastAsia="仿宋" w:cs="仿宋"/>
                <w:color w:val="000000" w:themeColor="text1"/>
                <w:sz w:val="24"/>
                <w:szCs w:val="24"/>
                <w14:textFill>
                  <w14:solidFill>
                    <w14:schemeClr w14:val="tx1"/>
                  </w14:solidFill>
                </w14:textFill>
              </w:rPr>
              <w:t>施工范围：</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工程规模：</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包号划分及控制价：20万元</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总工期：自合同签订之日起35日历日。</w:t>
            </w:r>
          </w:p>
          <w:p>
            <w:pPr>
              <w:snapToGrid w:val="0"/>
              <w:spacing w:line="44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具体施工时间以发包人通知为准。发包人有权对开工、竣工时间做出适当调整，并适时通知成交人。</w:t>
            </w:r>
          </w:p>
        </w:tc>
      </w:tr>
      <w:tr>
        <w:tblPrEx>
          <w:tblLayout w:type="fixed"/>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工程保修期：1年。</w:t>
            </w:r>
          </w:p>
        </w:tc>
      </w:tr>
      <w:tr>
        <w:tblPrEx>
          <w:tblLayout w:type="fixed"/>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供应商资格要求：</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1、具有独立承担民事责任的能力；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2、具有良好的商业信誉和健全的财务会计制度；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3、具有履行合同所必需的设备和专业技术能力；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4、有依法缴纳税收和社会保障资金的良好记录；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5、参加采购活动前三年内，在经营活动中没有重大违法记录；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6、法律、行政法规规定的其他条件； </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7、通过“信用中国”网站（www.creditchina.gov.cn）查询，未被列入失信被执行人、重大税收违法案件当事人、采购严重违法失信行为记录等名单的；</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8、本项目不接受联合体投标。</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资格审查方式：资格后审，合格制</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报价方式：公开报价，合格的供应商具有再次报价的机会。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响应有效期：开标日后的90天（日历日）</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磋商文件售价：200元（售后不退）；</w:t>
            </w:r>
          </w:p>
        </w:tc>
      </w:tr>
      <w:tr>
        <w:tblPrEx>
          <w:tblLayout w:type="fixed"/>
          <w:tblCellMar>
            <w:top w:w="0" w:type="dxa"/>
            <w:left w:w="28" w:type="dxa"/>
            <w:bottom w:w="0" w:type="dxa"/>
            <w:right w:w="28" w:type="dxa"/>
          </w:tblCellMar>
        </w:tblPrEx>
        <w:trPr>
          <w:trHeight w:val="16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获取磋商文件时间：2019年6月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日9:00—2019年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日16:30截止（北京时间，双休日、节假日除外）。</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（工作时间：上午9:00—12:00，下午13:00—16:30）；</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地点：青岛市市北区敦化路138号甲西王大厦24楼23A01室</w:t>
            </w:r>
            <w:r>
              <w:rPr>
                <w:rFonts w:hint="eastAsia" w:ascii="仿宋" w:hAnsi="仿宋" w:eastAsia="仿宋" w:cs="仿宋"/>
                <w:color w:val="000000" w:themeColor="text1"/>
                <w14:textFill>
                  <w14:solidFill>
                    <w14:schemeClr w14:val="tx1"/>
                  </w14:solidFill>
                </w14:textFill>
              </w:rPr>
              <w:t>。</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报名方式（二选一）：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（1）现场报名：获取磋商文件时须携带营业执照副本原件或加盖公章的复印件到山东盛和招标代理有限公司报名；</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报名地点：青岛市市北区敦化路138号甲西王大厦24楼23A01室。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（2）网上报名：有意参加本次采购活动的供应商发送邮件。邮件内容：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0"/>
                <w:rFonts w:hint="eastAsia" w:ascii="仿宋" w:hAnsi="仿宋" w:eastAsia="仿宋"/>
                <w:sz w:val="24"/>
                <w:szCs w:val="24"/>
              </w:rPr>
              <w:t>项目名称、项目编号、包号、公司名称、联系人、联系电话、邮箱、营业执照副本扫描件、标书费汇款底单发送至山东盛和招标代理有限公司邮箱shzbqdb@163.com，邮件名称命名为</w:t>
            </w:r>
            <w:r>
              <w:rPr>
                <w:rStyle w:val="20"/>
                <w:rFonts w:hint="eastAsia" w:ascii="仿宋" w:hAnsi="仿宋" w:eastAsia="仿宋"/>
                <w:sz w:val="24"/>
                <w:szCs w:val="24"/>
              </w:rPr>
              <w:fldChar w:fldCharType="end"/>
            </w:r>
            <w:r>
              <w:rPr>
                <w:rFonts w:hint="eastAsia" w:ascii="仿宋" w:hAnsi="仿宋" w:eastAsia="仿宋"/>
                <w:sz w:val="24"/>
                <w:szCs w:val="24"/>
              </w:rPr>
              <w:t xml:space="preserve"> 山东科技大学SDSHZB2019-397-报名-包号-“响应单位名称”。(提交标书费须从公司基本账户或一般账户转出，须标明项目编号)</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sz w:val="24"/>
                <w:szCs w:val="24"/>
              </w:rPr>
              <w:t>未按以上规定内容报名的视为报名无效。</w:t>
            </w:r>
          </w:p>
        </w:tc>
      </w:tr>
      <w:tr>
        <w:tblPrEx>
          <w:tblLayout w:type="fixed"/>
          <w:tblCellMar>
            <w:top w:w="0" w:type="dxa"/>
            <w:left w:w="28" w:type="dxa"/>
            <w:bottom w:w="0" w:type="dxa"/>
            <w:right w:w="28" w:type="dxa"/>
          </w:tblCellMar>
        </w:tblPrEx>
        <w:trPr>
          <w:trHeight w:val="310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保证金：4000元。</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0之前到账，以电汇形式（电汇以到账时间为准）提交。电汇形式提交的保证金，必须从公司基本账户或一般账户转出，并备注所投项目编号及包号。</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开户名称：山东盛和招标代理有限公司</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开户银行：兴业银行青岛市北支行</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    号：522130100100053768</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保证金必须在规定时间之前到达上述账户，否则视为自动放弃本次响应资格。</w:t>
            </w:r>
          </w:p>
        </w:tc>
      </w:tr>
      <w:tr>
        <w:tblPrEx>
          <w:tblLayout w:type="fixed"/>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踏勘现场:统一勘查现场</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响应文件内需附有经采购人签字的勘察现场登记表（登记表原件按包号胶装在相应包号的响应文件正本，登记表复印件胶装在副本）</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日上午10：00</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集合地点：山东科技大学南门行政楼前</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联系人及联系方式：刘老师 0532-80698387</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采购答疑：</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1、答疑文件提交：磋商文件发售截止时间次日17点前</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2、份数：书面形式一份，WORD电子文档一份邮件到shzbqdb@163.com</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答疑文件领取：</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时间：另行通知</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本项目不接受供应商多方案报价</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响应文件及资料的份数：唱价单一份单独密封，</w:t>
            </w:r>
            <w:r>
              <w:rPr>
                <w:rFonts w:hint="eastAsia" w:ascii="仿宋" w:hAnsi="仿宋" w:eastAsia="仿宋" w:cs="仿宋"/>
                <w:bCs/>
                <w:color w:val="000000" w:themeColor="text1"/>
                <w:sz w:val="24"/>
                <w:szCs w:val="24"/>
                <w14:textFill>
                  <w14:solidFill>
                    <w14:schemeClr w14:val="tx1"/>
                  </w14:solidFill>
                </w14:textFill>
              </w:rPr>
              <w:t>正本一份，副本伍份，电子文档一份（WORD及EXCEL版本）、资质证明文件及相关材料，以上文件分别密封。</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供应商应按本须知前附表所规定的地点，于截止时间前提交上述资料。</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bookmarkStart w:id="3" w:name="OLE_LINK55"/>
            <w:bookmarkStart w:id="4" w:name="OLE_LINK54"/>
            <w:r>
              <w:rPr>
                <w:rFonts w:hint="eastAsia" w:ascii="仿宋" w:hAnsi="仿宋" w:eastAsia="仿宋" w:cs="仿宋"/>
                <w:color w:val="000000" w:themeColor="text1"/>
                <w:sz w:val="24"/>
                <w:szCs w:val="24"/>
                <w14:textFill>
                  <w14:solidFill>
                    <w14:schemeClr w14:val="tx1"/>
                  </w14:solidFill>
                </w14:textFill>
              </w:rPr>
              <w:t>付款方式：</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签订合同前，缴纳履约保证金，乙方支付成交价款5％作为履约保证金，工程竣工经验收合格并审计完毕后付总工程造价的100%，履约保证金在工程保修期满后一月内无息付清</w:t>
            </w:r>
            <w:bookmarkEnd w:id="3"/>
            <w:bookmarkEnd w:id="4"/>
            <w:r>
              <w:rPr>
                <w:rFonts w:hint="eastAsia" w:ascii="仿宋" w:hAnsi="仿宋" w:eastAsia="仿宋" w:cs="仿宋"/>
                <w:bCs/>
                <w:color w:val="000000" w:themeColor="text1"/>
                <w:sz w:val="24"/>
                <w:szCs w:val="24"/>
                <w14:textFill>
                  <w14:solidFill>
                    <w14:schemeClr w14:val="tx1"/>
                  </w14:solidFill>
                </w14:textFill>
              </w:rPr>
              <w:t>。</w:t>
            </w:r>
          </w:p>
        </w:tc>
      </w:tr>
      <w:tr>
        <w:tblPrEx>
          <w:tblLayout w:type="fixed"/>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签订合同前，成交供应商从公司账户以电汇等非现金形式按照成交金额的5%（取整数）向采购人交纳履约保证金。</w:t>
            </w:r>
          </w:p>
        </w:tc>
      </w:tr>
      <w:tr>
        <w:tblPrEx>
          <w:tblLayout w:type="fixed"/>
          <w:tblCellMar>
            <w:top w:w="0" w:type="dxa"/>
            <w:left w:w="28" w:type="dxa"/>
            <w:bottom w:w="0" w:type="dxa"/>
            <w:right w:w="28" w:type="dxa"/>
          </w:tblCellMar>
        </w:tblPrEx>
        <w:trPr>
          <w:trHeight w:val="120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响应文件递交起止时间：2019年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:00-09: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响应文件递交地点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接受单位：山东盛和招标代理有限公司</w:t>
            </w:r>
          </w:p>
        </w:tc>
      </w:tr>
      <w:tr>
        <w:tblPrEx>
          <w:tblLayout w:type="fixed"/>
          <w:tblCellMar>
            <w:top w:w="0" w:type="dxa"/>
            <w:left w:w="28" w:type="dxa"/>
            <w:bottom w:w="0" w:type="dxa"/>
            <w:right w:w="28" w:type="dxa"/>
          </w:tblCellMar>
        </w:tblPrEx>
        <w:trPr>
          <w:trHeight w:val="755"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评审方法及标准：综合评分法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采购单位：山东科技大学</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联系人：阎老师</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联系电话：0532-86057892</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技术联系人：刘老师</w:t>
            </w:r>
          </w:p>
          <w:p>
            <w:pPr>
              <w:pStyle w:val="2"/>
            </w:pPr>
            <w:r>
              <w:rPr>
                <w:rFonts w:hint="eastAsia" w:ascii="仿宋" w:hAnsi="仿宋" w:eastAsia="仿宋" w:cs="仿宋"/>
                <w:color w:val="000000" w:themeColor="text1"/>
                <w:sz w:val="24"/>
                <w:szCs w:val="24"/>
                <w14:textFill>
                  <w14:solidFill>
                    <w14:schemeClr w14:val="tx1"/>
                  </w14:solidFill>
                </w14:textFill>
              </w:rPr>
              <w:t>联系电话：0532-80698387</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采购代理机构：山东盛和招标代理有限公司</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地址：青岛市市北区敦化路138号甲西王大厦24楼23A02室</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zh-CN"/>
                <w14:textFill>
                  <w14:solidFill>
                    <w14:schemeClr w14:val="tx1"/>
                  </w14:solidFill>
                </w14:textFill>
              </w:rPr>
              <w:t>马诗晴、陈长海、</w:t>
            </w:r>
            <w:r>
              <w:rPr>
                <w:rFonts w:hint="eastAsia" w:ascii="仿宋" w:hAnsi="仿宋" w:eastAsia="仿宋" w:cs="仿宋"/>
                <w:color w:val="000000" w:themeColor="text1"/>
                <w:sz w:val="24"/>
                <w:szCs w:val="24"/>
                <w14:textFill>
                  <w14:solidFill>
                    <w14:schemeClr w14:val="tx1"/>
                  </w14:solidFill>
                </w14:textFill>
              </w:rPr>
              <w:t>贺鹏琦</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sz w:val="24"/>
                <w:szCs w:val="24"/>
                <w:lang w:val="zh-CN"/>
              </w:rPr>
              <w:t>0532-85659918、0532-66701999、</w:t>
            </w:r>
            <w:r>
              <w:rPr>
                <w:rFonts w:hint="eastAsia" w:ascii="仿宋" w:hAnsi="仿宋" w:eastAsia="仿宋" w:cs="仿宋"/>
                <w:color w:val="000000" w:themeColor="text1"/>
                <w:sz w:val="24"/>
                <w:szCs w:val="24"/>
                <w14:textFill>
                  <w14:solidFill>
                    <w14:schemeClr w14:val="tx1"/>
                  </w14:solidFill>
                </w14:textFill>
              </w:rPr>
              <w:t>15054262508</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p>
        </w:tc>
        <w:tc>
          <w:tcPr>
            <w:tcW w:w="833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本项目可磋商内容：采购需求中的技术、服务要求以及合同草案条款。</w:t>
            </w:r>
          </w:p>
        </w:tc>
      </w:tr>
    </w:tbl>
    <w:p>
      <w:pPr>
        <w:rPr>
          <w:rFonts w:ascii="仿宋" w:hAnsi="仿宋" w:eastAsia="仿宋" w:cs="仿宋"/>
          <w:sz w:val="40"/>
        </w:rPr>
      </w:pPr>
      <w:bookmarkStart w:id="5" w:name="_Toc535048498"/>
      <w:bookmarkStart w:id="6" w:name="_Toc12146"/>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7" w:name="_Toc22239"/>
      <w:r>
        <w:rPr>
          <w:rFonts w:hint="eastAsia" w:ascii="仿宋" w:hAnsi="仿宋" w:eastAsia="仿宋" w:cs="仿宋"/>
          <w:sz w:val="40"/>
        </w:rPr>
        <w:t>二、响应须知</w:t>
      </w:r>
      <w:bookmarkEnd w:id="5"/>
      <w:bookmarkEnd w:id="6"/>
      <w:bookmarkEnd w:id="7"/>
    </w:p>
    <w:p>
      <w:pPr>
        <w:pStyle w:val="4"/>
        <w:spacing w:before="0" w:after="0" w:line="360" w:lineRule="auto"/>
        <w:jc w:val="left"/>
        <w:rPr>
          <w:rFonts w:ascii="仿宋" w:hAnsi="仿宋" w:eastAsia="仿宋" w:cs="仿宋"/>
          <w:sz w:val="24"/>
          <w:szCs w:val="24"/>
        </w:rPr>
      </w:pPr>
      <w:bookmarkStart w:id="8" w:name="_Toc8715"/>
      <w:bookmarkStart w:id="9" w:name="_Toc19298"/>
      <w:bookmarkStart w:id="10" w:name="_Toc535048499"/>
      <w:r>
        <w:rPr>
          <w:rFonts w:hint="eastAsia" w:ascii="仿宋" w:hAnsi="仿宋" w:eastAsia="仿宋" w:cs="仿宋"/>
          <w:sz w:val="24"/>
          <w:szCs w:val="24"/>
        </w:rPr>
        <w:t>（一）总  则</w:t>
      </w:r>
      <w:bookmarkEnd w:id="8"/>
      <w:bookmarkEnd w:id="9"/>
      <w:bookmarkEnd w:id="10"/>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成交人在签订合同前，按国家计委计价格[2002]1980号文规定的75%向山东盛和招标代理有限公司交纳成交服务费。</w:t>
      </w:r>
      <w:r>
        <w:rPr>
          <w:rFonts w:hint="eastAsia" w:ascii="仿宋" w:hAnsi="仿宋" w:eastAsia="仿宋"/>
          <w:color w:val="000000"/>
          <w:sz w:val="24"/>
          <w:szCs w:val="24"/>
          <w:lang w:val="zh-CN"/>
        </w:rPr>
        <w:t>成交供应商在签订合同前交纳成交金额千分之一的公证费。</w:t>
      </w:r>
    </w:p>
    <w:p>
      <w:pPr>
        <w:pStyle w:val="4"/>
        <w:spacing w:before="0" w:after="0"/>
        <w:rPr>
          <w:rFonts w:ascii="仿宋" w:hAnsi="仿宋" w:eastAsia="仿宋" w:cs="仿宋"/>
          <w:sz w:val="24"/>
          <w:szCs w:val="24"/>
        </w:rPr>
      </w:pPr>
      <w:bookmarkStart w:id="11" w:name="_Toc5524"/>
      <w:bookmarkStart w:id="12" w:name="_Toc21475"/>
      <w:bookmarkStart w:id="13" w:name="_Toc535048500"/>
      <w:r>
        <w:rPr>
          <w:rFonts w:hint="eastAsia" w:ascii="仿宋" w:hAnsi="仿宋" w:eastAsia="仿宋" w:cs="仿宋"/>
          <w:sz w:val="24"/>
          <w:szCs w:val="24"/>
        </w:rPr>
        <w:t>（二）磋商文件</w:t>
      </w:r>
      <w:bookmarkEnd w:id="11"/>
      <w:bookmarkEnd w:id="12"/>
      <w:bookmarkEnd w:id="13"/>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4" w:name="_Toc535048501"/>
      <w:bookmarkStart w:id="15" w:name="_Toc23330"/>
      <w:bookmarkStart w:id="16" w:name="_Toc18237"/>
      <w:r>
        <w:rPr>
          <w:rFonts w:hint="eastAsia" w:ascii="仿宋" w:hAnsi="仿宋" w:eastAsia="仿宋" w:cs="仿宋"/>
          <w:sz w:val="24"/>
          <w:szCs w:val="24"/>
        </w:rPr>
        <w:t>（三） 响应文件的编制</w:t>
      </w:r>
      <w:bookmarkEnd w:id="14"/>
      <w:bookmarkEnd w:id="15"/>
      <w:bookmarkEnd w:id="1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10.1响应文件由报价函、报价一览表、资格审查部分、商务部分、技术部分组成；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响应文件封面、密封条骑缝处及报价函均应加盖供应商印章并经法定代表人或其委托代理人签字或盖章。由委托代理人签字或盖章的响应文件中须同时提交响应文件签署授权委托书，否则响应文件签署无效。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7"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7"/>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8" w:name="_Toc11061"/>
      <w:bookmarkStart w:id="19" w:name="_Toc509"/>
      <w:bookmarkStart w:id="20" w:name="_Toc535048502"/>
      <w:r>
        <w:rPr>
          <w:rFonts w:hint="eastAsia" w:ascii="仿宋" w:hAnsi="仿宋" w:eastAsia="仿宋" w:cs="仿宋"/>
          <w:sz w:val="24"/>
          <w:szCs w:val="24"/>
        </w:rPr>
        <w:t>（四）响应文件的提交</w:t>
      </w:r>
      <w:bookmarkEnd w:id="18"/>
      <w:bookmarkEnd w:id="19"/>
      <w:bookmarkEnd w:id="20"/>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唱价单单独密封一份，当唱价单与正本不一致时，以唱价单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供应商应将响应文件的正本和副本分别密封；唱价单单独密封一份，资质证明文件单独密封一份；响应文件电子版单独密封一份。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唱价单单独密封在一个信封内，与响应文件同时递交。在信封密封骑缝处加盖供应商公章、法定代表人或法定代表人授权委托人印章，并在封面上注明：“唱价单”、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24.5在响应截止日期至供应商在报价函中规定的响应有效期满之前的这段时间内，供应商不得撤回其响应文件，否则其保证金将被没收。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rPr>
          <w:rFonts w:ascii="仿宋" w:hAnsi="仿宋" w:eastAsia="仿宋" w:cs="仿宋"/>
          <w:sz w:val="24"/>
          <w:szCs w:val="24"/>
        </w:rPr>
      </w:pPr>
      <w:bookmarkStart w:id="21" w:name="_Toc535048503"/>
      <w:bookmarkStart w:id="22" w:name="_Toc22369"/>
      <w:bookmarkStart w:id="23" w:name="_Toc24278"/>
      <w:r>
        <w:rPr>
          <w:rFonts w:hint="eastAsia" w:ascii="仿宋" w:hAnsi="仿宋" w:eastAsia="仿宋" w:cs="仿宋"/>
          <w:sz w:val="24"/>
          <w:szCs w:val="24"/>
        </w:rPr>
        <w:t>（五）开标会</w:t>
      </w:r>
      <w:bookmarkEnd w:id="21"/>
      <w:bookmarkEnd w:id="22"/>
      <w:bookmarkEnd w:id="2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报价：响应文件经检查无误后当众拆封，由报价人统一宣读唱价单，其内容要与响应文件一致，否则以唱价单为准。报价完毕后如无误，各供应商授权代表对报价内容现场签字认可。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采购单位在磋商文件要求提交响应文件的截止时间前收到的响应文件，开标会议上都应当众予以拆封、宣读唱价单。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不具备前附表第10项供应商资格要求；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未按规定缴纳保证金；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27.1.7</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27.1.8</w:t>
      </w:r>
      <w:r>
        <w:rPr>
          <w:rFonts w:hint="eastAsia" w:ascii="仿宋" w:hAnsi="仿宋" w:eastAsia="仿宋" w:cs="仿宋"/>
          <w:spacing w:val="-8"/>
          <w:sz w:val="24"/>
          <w:szCs w:val="24"/>
        </w:rPr>
        <w:t>响应文件正副本未区分或者内容严重不一致；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27.1.9</w:t>
      </w:r>
      <w:r>
        <w:rPr>
          <w:rFonts w:hint="eastAsia" w:ascii="仿宋" w:hAnsi="仿宋" w:eastAsia="仿宋" w:cs="仿宋"/>
          <w:spacing w:val="-8"/>
          <w:sz w:val="24"/>
          <w:szCs w:val="24"/>
        </w:rPr>
        <w:t>响应有效期不满足磋商文件要求；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27.1.10</w:t>
      </w:r>
      <w:r>
        <w:rPr>
          <w:rFonts w:hint="eastAsia" w:ascii="仿宋" w:hAnsi="仿宋" w:eastAsia="仿宋" w:cs="仿宋"/>
          <w:spacing w:val="-8"/>
          <w:sz w:val="24"/>
          <w:szCs w:val="24"/>
        </w:rPr>
        <w:t>无供应商法定代表人或其授权代表签字；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27.1.11</w:t>
      </w:r>
      <w:r>
        <w:rPr>
          <w:rFonts w:hint="eastAsia" w:ascii="仿宋" w:hAnsi="仿宋" w:eastAsia="仿宋" w:cs="仿宋"/>
          <w:spacing w:val="-8"/>
          <w:sz w:val="24"/>
          <w:szCs w:val="24"/>
        </w:rPr>
        <w:t>联合体未提交联合体协议书；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27.1.12</w:t>
      </w:r>
      <w:r>
        <w:rPr>
          <w:rFonts w:hint="eastAsia" w:ascii="仿宋" w:hAnsi="仿宋" w:eastAsia="仿宋" w:cs="仿宋"/>
          <w:spacing w:val="-8"/>
          <w:sz w:val="24"/>
          <w:szCs w:val="24"/>
        </w:rPr>
        <w:t>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27.1.13</w:t>
      </w:r>
      <w:r>
        <w:rPr>
          <w:rFonts w:hint="eastAsia" w:ascii="仿宋" w:hAnsi="仿宋" w:eastAsia="仿宋" w:cs="仿宋"/>
          <w:spacing w:val="-8"/>
          <w:sz w:val="24"/>
          <w:szCs w:val="24"/>
        </w:rPr>
        <w:t>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27.1.14</w:t>
      </w:r>
      <w:r>
        <w:rPr>
          <w:rFonts w:hint="eastAsia" w:ascii="仿宋" w:hAnsi="仿宋" w:eastAsia="仿宋" w:cs="仿宋"/>
          <w:spacing w:val="-8"/>
          <w:sz w:val="24"/>
          <w:szCs w:val="24"/>
        </w:rPr>
        <w:t>低于成本价且无法提供相关证明材料；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27.1.15</w:t>
      </w:r>
      <w:r>
        <w:rPr>
          <w:rFonts w:hint="eastAsia" w:ascii="仿宋" w:hAnsi="仿宋" w:eastAsia="仿宋" w:cs="仿宋"/>
          <w:spacing w:val="-8"/>
          <w:sz w:val="24"/>
          <w:szCs w:val="24"/>
        </w:rPr>
        <w:t>磋商小组认定施工方案不符合磋商文件要求；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27.1.16</w:t>
      </w:r>
      <w:r>
        <w:rPr>
          <w:rFonts w:hint="eastAsia" w:ascii="仿宋" w:hAnsi="仿宋" w:eastAsia="仿宋" w:cs="仿宋"/>
          <w:spacing w:val="-8"/>
          <w:sz w:val="24"/>
          <w:szCs w:val="24"/>
        </w:rPr>
        <w:t>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27.1.17</w:t>
      </w:r>
      <w:r>
        <w:rPr>
          <w:rFonts w:hint="eastAsia" w:ascii="仿宋" w:hAnsi="仿宋" w:eastAsia="仿宋" w:cs="仿宋"/>
          <w:spacing w:val="-8"/>
          <w:sz w:val="24"/>
          <w:szCs w:val="24"/>
        </w:rPr>
        <w:t>供应商未提交最终报价；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27.1.18</w:t>
      </w:r>
      <w:r>
        <w:rPr>
          <w:rFonts w:hint="eastAsia" w:ascii="仿宋" w:hAnsi="仿宋" w:eastAsia="仿宋" w:cs="仿宋"/>
          <w:spacing w:val="-8"/>
          <w:sz w:val="24"/>
          <w:szCs w:val="24"/>
        </w:rPr>
        <w:t>供应商存在弄虚作假的行为；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27.1.19</w:t>
      </w:r>
      <w:r>
        <w:rPr>
          <w:rFonts w:hint="eastAsia" w:ascii="仿宋" w:hAnsi="仿宋" w:eastAsia="仿宋" w:cs="仿宋"/>
          <w:spacing w:val="-8"/>
          <w:sz w:val="24"/>
          <w:szCs w:val="24"/>
        </w:rPr>
        <w:t>属于采购人与供应商、供应商与供应商相互串通响应情形；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27.1.20</w:t>
      </w:r>
      <w:r>
        <w:rPr>
          <w:rFonts w:hint="eastAsia" w:ascii="仿宋" w:hAnsi="仿宋" w:eastAsia="仿宋" w:cs="仿宋"/>
          <w:spacing w:val="-8"/>
          <w:sz w:val="24"/>
          <w:szCs w:val="24"/>
        </w:rPr>
        <w:t>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27.1.21</w:t>
      </w:r>
      <w:r>
        <w:rPr>
          <w:rFonts w:hint="eastAsia" w:ascii="仿宋" w:hAnsi="仿宋" w:eastAsia="仿宋" w:cs="仿宋"/>
          <w:spacing w:val="-8"/>
          <w:sz w:val="24"/>
          <w:szCs w:val="24"/>
        </w:rPr>
        <w:t>磋商文件规定的其他报价无效情形；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27.1.22</w:t>
      </w:r>
      <w:r>
        <w:rPr>
          <w:rFonts w:hint="eastAsia" w:ascii="仿宋" w:hAnsi="仿宋" w:eastAsia="仿宋" w:cs="仿宋"/>
          <w:spacing w:val="-8"/>
          <w:sz w:val="24"/>
          <w:szCs w:val="24"/>
        </w:rPr>
        <w:t>法律、法规、规章规定属于报价无效的其他情形。</w:t>
      </w:r>
    </w:p>
    <w:p>
      <w:pPr>
        <w:overflowPunct w:val="0"/>
        <w:autoSpaceDE w:val="0"/>
        <w:snapToGrid w:val="0"/>
        <w:spacing w:line="360" w:lineRule="auto"/>
        <w:ind w:firstLine="448"/>
        <w:rPr>
          <w:rFonts w:ascii="仿宋" w:hAnsi="仿宋" w:eastAsia="仿宋" w:cs="仿宋"/>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4" w:name="_Toc16849"/>
      <w:bookmarkStart w:id="25" w:name="_Toc32386"/>
      <w:bookmarkStart w:id="26" w:name="_Toc535048504"/>
      <w:r>
        <w:rPr>
          <w:rFonts w:hint="eastAsia" w:ascii="仿宋" w:hAnsi="仿宋" w:eastAsia="仿宋" w:cs="仿宋"/>
          <w:sz w:val="24"/>
          <w:szCs w:val="24"/>
        </w:rPr>
        <w:t>（六）评审</w:t>
      </w:r>
      <w:bookmarkEnd w:id="24"/>
      <w:bookmarkEnd w:id="25"/>
      <w:bookmarkEnd w:id="2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磋商小组将依据《中华人民共和国采购法》及相关法律规定由采购单位和有关专家组成。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30.1为了规范评审活动，保证评审的公平、公正，维护采购响应活动当事人的合法权益，依照国家有关法律、法规制定本规定。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对提供虚假事实骗取成交的供应商，采购单位将取消其成交资格，其保证金将被没收。</w:t>
      </w:r>
    </w:p>
    <w:p>
      <w:pPr>
        <w:pStyle w:val="4"/>
        <w:spacing w:before="0" w:after="0"/>
        <w:rPr>
          <w:rFonts w:ascii="仿宋" w:hAnsi="仿宋" w:eastAsia="仿宋" w:cs="仿宋"/>
          <w:sz w:val="24"/>
          <w:szCs w:val="24"/>
        </w:rPr>
      </w:pPr>
      <w:bookmarkStart w:id="27" w:name="_Toc4118"/>
      <w:bookmarkStart w:id="28" w:name="_Toc15749"/>
      <w:bookmarkStart w:id="29" w:name="_Toc535048505"/>
      <w:r>
        <w:rPr>
          <w:rFonts w:hint="eastAsia" w:ascii="仿宋" w:hAnsi="仿宋" w:eastAsia="仿宋" w:cs="仿宋"/>
          <w:sz w:val="24"/>
          <w:szCs w:val="24"/>
        </w:rPr>
        <w:t>（七）定标</w:t>
      </w:r>
      <w:bookmarkEnd w:id="27"/>
      <w:bookmarkEnd w:id="28"/>
      <w:bookmarkEnd w:id="29"/>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rPr>
          <w:rFonts w:ascii="仿宋" w:hAnsi="仿宋" w:eastAsia="仿宋" w:cs="仿宋"/>
          <w:sz w:val="24"/>
          <w:szCs w:val="24"/>
        </w:rPr>
      </w:pPr>
      <w:bookmarkStart w:id="30" w:name="_Toc11577"/>
      <w:bookmarkStart w:id="31" w:name="_Toc9304"/>
      <w:bookmarkStart w:id="32" w:name="_Toc535048506"/>
      <w:r>
        <w:rPr>
          <w:rFonts w:hint="eastAsia" w:ascii="仿宋" w:hAnsi="仿宋" w:eastAsia="仿宋" w:cs="仿宋"/>
          <w:sz w:val="24"/>
          <w:szCs w:val="24"/>
        </w:rPr>
        <w:t>（八）合同的授予</w:t>
      </w:r>
      <w:bookmarkEnd w:id="30"/>
      <w:bookmarkEnd w:id="31"/>
      <w:bookmarkEnd w:id="32"/>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p>
    <w:p>
      <w:pPr>
        <w:overflowPunct w:val="0"/>
        <w:autoSpaceDE w:val="0"/>
        <w:snapToGrid w:val="0"/>
        <w:spacing w:line="360" w:lineRule="auto"/>
        <w:ind w:firstLine="480"/>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spacing w:line="240" w:lineRule="auto"/>
        <w:jc w:val="center"/>
        <w:rPr>
          <w:rFonts w:ascii="仿宋" w:hAnsi="仿宋" w:eastAsia="仿宋" w:cs="仿宋"/>
          <w:b w:val="0"/>
          <w:color w:val="000000" w:themeColor="text1"/>
          <w14:textFill>
            <w14:solidFill>
              <w14:schemeClr w14:val="tx1"/>
            </w14:solidFill>
          </w14:textFill>
        </w:rPr>
      </w:pPr>
      <w:bookmarkStart w:id="33" w:name="_Toc535048507"/>
      <w:bookmarkStart w:id="34" w:name="_Toc27626"/>
      <w:r>
        <w:rPr>
          <w:rFonts w:hint="eastAsia" w:ascii="仿宋" w:hAnsi="仿宋" w:eastAsia="仿宋" w:cs="仿宋"/>
          <w:b w:val="0"/>
          <w:color w:val="000000" w:themeColor="text1"/>
          <w:sz w:val="40"/>
          <w14:textFill>
            <w14:solidFill>
              <w14:schemeClr w14:val="tx1"/>
            </w14:solidFill>
          </w14:textFill>
        </w:rPr>
        <w:t>第二章 供应商应当提交的资格、资信等证明文件</w:t>
      </w:r>
      <w:bookmarkEnd w:id="33"/>
      <w:bookmarkEnd w:id="34"/>
    </w:p>
    <w:p>
      <w:pPr>
        <w:spacing w:line="360" w:lineRule="auto"/>
        <w:ind w:firstLine="451" w:firstLineChars="171"/>
        <w:rPr>
          <w:rFonts w:ascii="仿宋" w:hAnsi="仿宋" w:eastAsia="仿宋" w:cs="仿宋"/>
          <w:spacing w:val="-8"/>
        </w:rPr>
      </w:pPr>
      <w:bookmarkStart w:id="35" w:name="_Toc434614158"/>
      <w:r>
        <w:rPr>
          <w:rFonts w:hint="eastAsia" w:ascii="仿宋" w:hAnsi="仿宋" w:eastAsia="仿宋" w:cs="仿宋"/>
          <w:spacing w:val="-8"/>
        </w:rPr>
        <w:t>1.资格、资信等证明文件目录</w:t>
      </w:r>
      <w:bookmarkEnd w:id="35"/>
    </w:p>
    <w:tbl>
      <w:tblPr>
        <w:tblStyle w:val="17"/>
        <w:tblW w:w="9248" w:type="dxa"/>
        <w:jc w:val="center"/>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1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序号</w:t>
            </w:r>
          </w:p>
        </w:tc>
        <w:tc>
          <w:tcPr>
            <w:tcW w:w="6313"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证明材料名称</w:t>
            </w:r>
          </w:p>
        </w:tc>
        <w:tc>
          <w:tcPr>
            <w:tcW w:w="2318"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具有独立承担民事责任的企业或组织合法经营权的凭证（如:营业执照、登记证书、执业许可证等）</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在经营活动中没有重大违法记录的书面声明（格式详见磋商文件“第七章 响应文件格式”附件1）</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采购诚信承诺书（格式详见磋商文件“第七章 响应文件格式”附件2）</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4</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sz w:val="24"/>
                <w:szCs w:val="24"/>
              </w:rPr>
              <w:t>通过“信用中国”网站（www.creditchina.gov.cn）查询，未被列入失信被执行人、重大税收违法案件当事人、采购严重违法失信行为记录等名单的。</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5</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经审计的财务状况报告或银行出具的有效期内的资信证明</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6</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缴纳税收和社会保障资金的相关材料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7</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业绩证明材料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8</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评标办法中评分所需的其他相关证明材料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p>
        </w:tc>
      </w:tr>
    </w:tbl>
    <w:p>
      <w:pPr>
        <w:spacing w:line="360" w:lineRule="auto"/>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备注：</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 xml:space="preserve">（1）开标时，供应商应当提交上述证明材料 </w:t>
      </w:r>
      <w:r>
        <w:rPr>
          <w:rFonts w:hint="eastAsia" w:ascii="仿宋" w:hAnsi="仿宋" w:eastAsia="仿宋" w:cs="仿宋"/>
          <w:color w:val="000000" w:themeColor="text1"/>
          <w:spacing w:val="-8"/>
          <w:sz w:val="24"/>
          <w:szCs w:val="24"/>
          <w:u w:val="single"/>
          <w14:textFill>
            <w14:solidFill>
              <w14:schemeClr w14:val="tx1"/>
            </w14:solidFill>
          </w14:textFill>
        </w:rPr>
        <w:t>1-6</w:t>
      </w:r>
      <w:r>
        <w:rPr>
          <w:rFonts w:hint="eastAsia" w:ascii="仿宋" w:hAnsi="仿宋" w:eastAsia="仿宋" w:cs="仿宋"/>
          <w:color w:val="000000" w:themeColor="text1"/>
          <w:spacing w:val="-8"/>
          <w:sz w:val="24"/>
          <w:szCs w:val="24"/>
          <w14:textFill>
            <w14:solidFill>
              <w14:schemeClr w14:val="tx1"/>
            </w14:solidFill>
          </w14:textFill>
        </w:rPr>
        <w:t>项，未提交或提交不全的视为资格性、符合性审查不合格；</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（2）要求提供的证明材料可以是复印件的，需加盖供应商公章。</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缴纳税收的证明材料是指供应商税务登记证（或统一社会信用代码营业执照）和参加采购活动前一段时间内缴纳增值税、营业税和企业所得税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51" w:firstLineChars="171"/>
        <w:rPr>
          <w:rFonts w:ascii="仿宋" w:hAnsi="仿宋" w:eastAsia="仿宋" w:cs="仿宋"/>
          <w:spacing w:val="-8"/>
        </w:rPr>
      </w:pPr>
      <w:bookmarkStart w:id="36" w:name="_Toc434614159"/>
      <w:r>
        <w:rPr>
          <w:rFonts w:hint="eastAsia" w:ascii="仿宋" w:hAnsi="仿宋" w:eastAsia="仿宋" w:cs="仿宋"/>
          <w:spacing w:val="-8"/>
        </w:rPr>
        <w:t>2.其他规定</w:t>
      </w:r>
      <w:bookmarkEnd w:id="36"/>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2.1供应商的资格证明材料应当真实、有效、完整，字迹、印章要清晰。</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2.4营业执照等原件无法提供的，可提供由发证机关出具的证明材料原件或公证处出具的公证书原件。</w:t>
      </w:r>
    </w:p>
    <w:p>
      <w:pPr>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jc w:val="center"/>
        <w:rPr>
          <w:rFonts w:ascii="仿宋" w:hAnsi="仿宋" w:eastAsia="仿宋" w:cs="仿宋"/>
          <w:b w:val="0"/>
          <w:color w:val="000000" w:themeColor="text1"/>
          <w14:textFill>
            <w14:solidFill>
              <w14:schemeClr w14:val="tx1"/>
            </w14:solidFill>
          </w14:textFill>
        </w:rPr>
      </w:pPr>
      <w:bookmarkStart w:id="37" w:name="_Toc535048508"/>
      <w:bookmarkStart w:id="38" w:name="_Toc9151"/>
      <w:r>
        <w:rPr>
          <w:rFonts w:hint="eastAsia" w:ascii="仿宋" w:hAnsi="仿宋" w:eastAsia="仿宋" w:cs="仿宋"/>
          <w:b w:val="0"/>
          <w:color w:val="000000" w:themeColor="text1"/>
          <w14:textFill>
            <w14:solidFill>
              <w14:schemeClr w14:val="tx1"/>
            </w14:solidFill>
          </w14:textFill>
        </w:rPr>
        <w:t>第三章     合同条款</w:t>
      </w:r>
      <w:bookmarkEnd w:id="37"/>
      <w:bookmarkEnd w:id="38"/>
    </w:p>
    <w:p>
      <w:pPr>
        <w:widowControl/>
        <w:spacing w:line="360" w:lineRule="auto"/>
        <w:jc w:val="center"/>
        <w:rPr>
          <w:rFonts w:ascii="仿宋" w:hAnsi="仿宋" w:eastAsia="仿宋" w:cs="仿宋"/>
          <w:color w:val="000000" w:themeColor="text1"/>
          <w:kern w:val="0"/>
          <w:sz w:val="32"/>
          <w:szCs w:val="32"/>
          <w:u w:val="singl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山东科技大学</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工程合同</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w:t>
      </w:r>
      <w:r>
        <w:rPr>
          <w:rFonts w:hint="eastAsia" w:ascii="仿宋" w:hAnsi="仿宋" w:eastAsia="仿宋" w:cs="仿宋"/>
          <w:color w:val="000000" w:themeColor="text1"/>
          <w:kern w:val="0"/>
          <w:sz w:val="24"/>
          <w:szCs w:val="24"/>
          <w:u w:val="single"/>
          <w14:textFill>
            <w14:solidFill>
              <w14:schemeClr w14:val="tx1"/>
            </w14:solidFill>
          </w14:textFill>
        </w:rPr>
        <w:t xml:space="preserve"> 山东科技大学  </w:t>
      </w:r>
      <w:r>
        <w:rPr>
          <w:rFonts w:hint="eastAsia" w:ascii="仿宋" w:hAnsi="仿宋" w:eastAsia="仿宋" w:cs="仿宋"/>
          <w:color w:val="000000" w:themeColor="text1"/>
          <w:kern w:val="0"/>
          <w:sz w:val="24"/>
          <w:szCs w:val="24"/>
          <w14:textFill>
            <w14:solidFill>
              <w14:schemeClr w14:val="tx1"/>
            </w14:solidFill>
          </w14:textFill>
        </w:rPr>
        <w:t>（以下简称甲方）</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（以下简称乙方）</w:t>
      </w:r>
    </w:p>
    <w:p>
      <w:pPr>
        <w:widowControl/>
        <w:spacing w:before="120" w:beforeLines="50" w:line="360" w:lineRule="auto"/>
        <w:ind w:firstLine="480" w:firstLineChars="200"/>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依照《中华人民共和国合同法》、《中华人民共和国建筑法》及其他法律、法规，遵循平等、自愿、公平和诚实信用的原则，双方就</w:t>
      </w:r>
      <w:r>
        <w:rPr>
          <w:rFonts w:hint="eastAsia" w:ascii="仿宋" w:hAnsi="仿宋" w:eastAsia="仿宋" w:cs="仿宋"/>
          <w:color w:val="000000" w:themeColor="text1"/>
          <w:kern w:val="0"/>
          <w:sz w:val="24"/>
          <w:szCs w:val="24"/>
          <w:u w:val="single"/>
          <w14:textFill>
            <w14:solidFill>
              <w14:schemeClr w14:val="tx1"/>
            </w14:solidFill>
          </w14:textFill>
        </w:rPr>
        <w:t>山东科技大学             工程</w:t>
      </w:r>
      <w:r>
        <w:rPr>
          <w:rFonts w:hint="eastAsia" w:ascii="仿宋" w:hAnsi="仿宋" w:eastAsia="仿宋" w:cs="仿宋"/>
          <w:color w:val="000000" w:themeColor="text1"/>
          <w:kern w:val="0"/>
          <w:sz w:val="24"/>
          <w:szCs w:val="24"/>
          <w14:textFill>
            <w14:solidFill>
              <w14:schemeClr w14:val="tx1"/>
            </w14:solidFill>
          </w14:textFill>
        </w:rPr>
        <w:t>有关事项协商一致，签订本合同，共同遵守。</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工程名称： </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承包方式：包工包料。</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工程内容及价格：</w:t>
      </w:r>
    </w:p>
    <w:tbl>
      <w:tblPr>
        <w:tblStyle w:val="17"/>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工程分</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bl>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二、暂列金根据实际发生数量据实结算。工程施工中如发生上表中未明确列明价格项目，从暂列金中列支，但内容及价格需经甲方书面同意后方可实施，但总价不得超出上表中暂列金总价。</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不含暂列金)的10%。未经甲方事先书面同意，超出部分视为乙方免费赠送，不予结算。</w:t>
      </w:r>
    </w:p>
    <w:p>
      <w:pPr>
        <w:widowControl/>
        <w:spacing w:line="360" w:lineRule="auto"/>
        <w:ind w:firstLine="482"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第四条   工期：</w:t>
      </w:r>
      <w:r>
        <w:rPr>
          <w:rFonts w:hint="eastAsia" w:ascii="仿宋" w:hAnsi="仿宋" w:eastAsia="仿宋" w:cs="仿宋"/>
          <w:color w:val="000000" w:themeColor="text1"/>
          <w:kern w:val="0"/>
          <w:sz w:val="24"/>
          <w:szCs w:val="24"/>
          <w14:textFill>
            <w14:solidFill>
              <w14:schemeClr w14:val="tx1"/>
            </w14:solidFill>
          </w14:textFill>
        </w:rPr>
        <w:t>自合同签订日起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个工作日内完成。自通过交工验收之日起</w:t>
      </w:r>
      <w:r>
        <w:rPr>
          <w:rFonts w:hint="eastAsia" w:ascii="仿宋" w:hAnsi="仿宋" w:eastAsia="仿宋" w:cs="仿宋"/>
          <w:color w:val="000000" w:themeColor="text1"/>
          <w:kern w:val="0"/>
          <w:sz w:val="24"/>
          <w:szCs w:val="24"/>
          <w:u w:val="single"/>
          <w14:textFill>
            <w14:solidFill>
              <w14:schemeClr w14:val="tx1"/>
            </w14:solidFill>
          </w14:textFill>
        </w:rPr>
        <w:t xml:space="preserve"> 壹 </w:t>
      </w:r>
      <w:r>
        <w:rPr>
          <w:rFonts w:hint="eastAsia" w:ascii="仿宋" w:hAnsi="仿宋" w:eastAsia="仿宋" w:cs="仿宋"/>
          <w:color w:val="000000" w:themeColor="text1"/>
          <w:kern w:val="0"/>
          <w:sz w:val="24"/>
          <w:szCs w:val="24"/>
          <w14:textFill>
            <w14:solidFill>
              <w14:schemeClr w14:val="tx1"/>
            </w14:solidFill>
          </w14:textFill>
        </w:rPr>
        <w:t>年为工程质量缺陷责任期。</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第五条  工程质量及验收标准和依据</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color w:val="000000" w:themeColor="text1"/>
          <w:kern w:val="0"/>
          <w:sz w:val="24"/>
          <w:szCs w:val="24"/>
          <w:u w:val="single"/>
          <w14:textFill>
            <w14:solidFill>
              <w14:schemeClr w14:val="tx1"/>
            </w14:solidFill>
          </w14:textFill>
        </w:rPr>
        <w:t xml:space="preserve"> 合格 </w:t>
      </w:r>
      <w:r>
        <w:rPr>
          <w:rFonts w:hint="eastAsia" w:ascii="仿宋" w:hAnsi="仿宋" w:eastAsia="仿宋" w:cs="仿宋"/>
          <w:color w:val="000000" w:themeColor="text1"/>
          <w:kern w:val="0"/>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第六条  甲方主要义务</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（二）协助乙方办理施工过程中所需的出入证，并与各相关单位进行协调。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（三）及时协调施工时的停电工作。</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（四）检查和监督乙方的施工管理、施工质量、进度以及安全生产。</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（五）及时组织项目验收，按本合同第五条及时支付工程款。</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（六）提供网络通道以便乙方进行远程在线诊断服务。</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（七）配合软件数据关系配置。</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第七条  乙方主要义务</w:t>
      </w:r>
    </w:p>
    <w:p>
      <w:pPr>
        <w:widowControl/>
        <w:spacing w:line="360" w:lineRule="auto"/>
        <w:ind w:firstLine="540" w:firstLineChars="225"/>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（三）应有完备的原材料及施工自检资料，报验资料及时报甲方审核。工程结束后按甲方要求提交竣工图纸及相关资料和决算（一式</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份）及其相应的电子文档</w:t>
      </w:r>
      <w:r>
        <w:rPr>
          <w:rFonts w:hint="eastAsia" w:ascii="仿宋" w:hAnsi="仿宋" w:eastAsia="仿宋" w:cs="仿宋"/>
          <w:color w:val="000000" w:themeColor="text1"/>
          <w:sz w:val="24"/>
          <w:szCs w:val="24"/>
          <w:u w:val="single"/>
          <w14:textFill>
            <w14:solidFill>
              <w14:schemeClr w14:val="tx1"/>
            </w14:solidFill>
          </w14:textFill>
        </w:rPr>
        <w:t xml:space="preserve"> 壹 </w:t>
      </w:r>
      <w:r>
        <w:rPr>
          <w:rFonts w:hint="eastAsia" w:ascii="仿宋" w:hAnsi="仿宋" w:eastAsia="仿宋" w:cs="仿宋"/>
          <w:color w:val="000000" w:themeColor="text1"/>
          <w:sz w:val="24"/>
          <w:szCs w:val="24"/>
          <w14:textFill>
            <w14:solidFill>
              <w14:schemeClr w14:val="tx1"/>
            </w14:solidFill>
          </w14:textFill>
        </w:rPr>
        <w:t>份，并配合甲方进行示范工程验收。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（六）项目竣工15日内组织验收。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（七）验收合格后在乙方提交合格决算资料30日内完成审计工作。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第八条  合同金额及付款方式</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（一）本合同总价计人民币（大写）</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（二）工程量发生增减时，按实际发生增减</w:t>
      </w:r>
      <w:r>
        <w:rPr>
          <w:rFonts w:hint="eastAsia" w:ascii="仿宋" w:hAnsi="仿宋" w:eastAsia="仿宋" w:cs="仿宋"/>
          <w:color w:val="000000" w:themeColor="text1"/>
          <w:sz w:val="24"/>
          <w:szCs w:val="24"/>
          <w14:textFill>
            <w14:solidFill>
              <w14:schemeClr w14:val="tx1"/>
            </w14:solidFill>
          </w14:textFill>
        </w:rPr>
        <w:t>。</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付款方式：</w:t>
      </w:r>
      <w:r>
        <w:rPr>
          <w:rFonts w:ascii="仿宋" w:hAnsi="仿宋" w:eastAsia="仿宋" w:cs="仿宋"/>
          <w:color w:val="000000" w:themeColor="text1"/>
          <w:sz w:val="24"/>
          <w14:textFill>
            <w14:solidFill>
              <w14:schemeClr w14:val="tx1"/>
            </w14:solidFill>
          </w14:textFill>
        </w:rPr>
        <w:t xml:space="preserve"> </w:t>
      </w:r>
    </w:p>
    <w:p>
      <w:pPr>
        <w:widowControl/>
        <w:spacing w:line="360" w:lineRule="auto"/>
        <w:ind w:left="1358" w:leftChars="228" w:hanging="720" w:hanging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第九条  工程保修期</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第十条  违约责任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（一）因甲方原因导致工程延误，每逾期一天，按工程未完工程量造价的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‰计算违约金，违约金最多不超过工程造价的1%，或工期顺延。</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（二）乙方未按合同规定的时间交工，每逾期一天，按工程未完工程量造价的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第十一条   不可抗力</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（一）当事人一方因不可抗力不能履行合同的，应当及时通知对方，并应当积极采取措施以减轻或消除可能给对方造成的损失，并应当在事件结束后</w:t>
      </w:r>
      <w:r>
        <w:rPr>
          <w:rFonts w:hint="eastAsia" w:ascii="仿宋" w:hAnsi="仿宋" w:eastAsia="仿宋" w:cs="仿宋"/>
          <w:color w:val="000000" w:themeColor="text1"/>
          <w:kern w:val="0"/>
          <w:sz w:val="24"/>
          <w:szCs w:val="24"/>
          <w:u w:val="single"/>
          <w14:textFill>
            <w14:solidFill>
              <w14:schemeClr w14:val="tx1"/>
            </w14:solidFill>
          </w14:textFill>
        </w:rPr>
        <w:t xml:space="preserve"> 20 </w:t>
      </w:r>
      <w:r>
        <w:rPr>
          <w:rFonts w:hint="eastAsia" w:ascii="仿宋" w:hAnsi="仿宋" w:eastAsia="仿宋" w:cs="仿宋"/>
          <w:color w:val="000000" w:themeColor="text1"/>
          <w:kern w:val="0"/>
          <w:sz w:val="24"/>
          <w:szCs w:val="24"/>
          <w14:textFill>
            <w14:solidFill>
              <w14:schemeClr w14:val="tx1"/>
            </w14:solidFill>
          </w14:textFill>
        </w:rPr>
        <w:t>天内提供有力证明。</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（三）因不可抗力使合同不能如期履行时，由双方协商确定是否延期履行或终止本合同。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第十二条 合同组成部分</w:t>
      </w:r>
    </w:p>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1、</w:t>
      </w:r>
      <w:r>
        <w:rPr>
          <w:rFonts w:hint="eastAsia" w:ascii="仿宋" w:hAnsi="仿宋" w:eastAsia="仿宋" w:cs="仿宋"/>
          <w:color w:val="000000" w:themeColor="text1"/>
          <w:kern w:val="0"/>
          <w:sz w:val="24"/>
          <w:szCs w:val="24"/>
          <w:lang w:eastAsia="zh-CN"/>
          <w14:textFill>
            <w14:solidFill>
              <w14:schemeClr w14:val="tx1"/>
            </w14:solidFill>
          </w14:textFill>
        </w:rPr>
        <w:t>磋商文件</w:t>
      </w:r>
      <w:bookmarkStart w:id="59" w:name="_GoBack"/>
      <w:bookmarkEnd w:id="59"/>
      <w:r>
        <w:rPr>
          <w:rFonts w:hint="eastAsia" w:ascii="仿宋" w:hAnsi="仿宋" w:eastAsia="仿宋" w:cs="仿宋"/>
          <w:color w:val="000000" w:themeColor="text1"/>
          <w:kern w:val="0"/>
          <w:sz w:val="24"/>
          <w:szCs w:val="24"/>
          <w14:textFill>
            <w14:solidFill>
              <w14:schemeClr w14:val="tx1"/>
            </w14:solidFill>
          </w14:textFill>
        </w:rPr>
        <w:t xml:space="preserve">；2、响应文件；3、与此项目相关的其他书面资料。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第十三条  争议的解决</w:t>
      </w:r>
    </w:p>
    <w:p>
      <w:pPr>
        <w:pStyle w:val="8"/>
        <w:spacing w:before="50" w:line="30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第十四条  合同生效及其它</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（二）本合同一式</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份，甲方执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份，乙方执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份。其他未尽事宜，双方友好协商解决。</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（三）乙方开户银行：</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；账号：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p>
    <w:p>
      <w:pPr>
        <w:widowControl/>
        <w:spacing w:line="360" w:lineRule="auto"/>
        <w:ind w:firstLine="1260" w:firstLineChars="5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附件：响应报价</w:t>
      </w: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甲方：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jc w:val="left"/>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pStyle w:val="15"/>
        <w:spacing w:before="0" w:after="0" w:line="360" w:lineRule="auto"/>
        <w:ind w:firstLine="1120" w:firstLineChars="400"/>
        <w:jc w:val="left"/>
        <w:rPr>
          <w:rFonts w:ascii="仿宋" w:hAnsi="仿宋" w:eastAsia="仿宋" w:cs="仿宋"/>
          <w:b w:val="0"/>
          <w:bCs w:val="0"/>
          <w:color w:val="000000" w:themeColor="text1"/>
          <w:kern w:val="1"/>
          <w:sz w:val="44"/>
          <w:szCs w:val="20"/>
          <w14:textFill>
            <w14:solidFill>
              <w14:schemeClr w14:val="tx1"/>
            </w14:solidFill>
          </w14:textFill>
        </w:rPr>
      </w:pPr>
      <w:r>
        <w:rPr>
          <w:rFonts w:hint="eastAsia" w:ascii="仿宋" w:hAnsi="仿宋" w:eastAsia="仿宋" w:cs="仿宋"/>
          <w:b w:val="0"/>
          <w:color w:val="000000" w:themeColor="text1"/>
          <w:sz w:val="28"/>
          <w:szCs w:val="28"/>
          <w:highlight w:val="lightGray"/>
          <w14:textFill>
            <w14:solidFill>
              <w14:schemeClr w14:val="tx1"/>
            </w14:solidFill>
          </w14:textFill>
        </w:rPr>
        <w:br w:type="page"/>
      </w:r>
      <w:bookmarkStart w:id="39" w:name="_Toc15863"/>
      <w:bookmarkStart w:id="40" w:name="_Toc535048509"/>
      <w:r>
        <w:rPr>
          <w:rFonts w:hint="eastAsia" w:ascii="仿宋" w:hAnsi="仿宋" w:eastAsia="仿宋" w:cs="仿宋"/>
          <w:b w:val="0"/>
          <w:bCs w:val="0"/>
          <w:color w:val="000000" w:themeColor="text1"/>
          <w:kern w:val="1"/>
          <w:sz w:val="44"/>
          <w:szCs w:val="20"/>
          <w14:textFill>
            <w14:solidFill>
              <w14:schemeClr w14:val="tx1"/>
            </w14:solidFill>
          </w14:textFill>
        </w:rPr>
        <w:t>第四章   项目说明及工程量清单</w:t>
      </w:r>
      <w:bookmarkEnd w:id="39"/>
      <w:bookmarkEnd w:id="40"/>
    </w:p>
    <w:p>
      <w:pPr>
        <w:pStyle w:val="23"/>
        <w:snapToGrid w:val="0"/>
        <w:spacing w:line="360" w:lineRule="auto"/>
        <w:ind w:firstLine="0"/>
        <w:rPr>
          <w:rFonts w:ascii="仿宋" w:hAnsi="仿宋" w:eastAsia="仿宋" w:cs="仿宋"/>
          <w:b/>
          <w:color w:val="000000" w:themeColor="text1"/>
          <w:kern w:val="0"/>
          <w:sz w:val="28"/>
          <w:szCs w:val="24"/>
          <w14:textFill>
            <w14:solidFill>
              <w14:schemeClr w14:val="tx1"/>
            </w14:solidFill>
          </w14:textFill>
        </w:rPr>
      </w:pPr>
      <w:r>
        <w:rPr>
          <w:rFonts w:hint="eastAsia" w:ascii="仿宋" w:hAnsi="仿宋" w:eastAsia="仿宋" w:cs="仿宋"/>
          <w:b/>
          <w:color w:val="000000" w:themeColor="text1"/>
          <w:kern w:val="0"/>
          <w:sz w:val="28"/>
          <w:szCs w:val="24"/>
          <w14:textFill>
            <w14:solidFill>
              <w14:schemeClr w14:val="tx1"/>
            </w14:solidFill>
          </w14:textFill>
        </w:rPr>
        <w:t>一、工程概况</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1、项目名称：山东科技大学幼儿园户外环境改造项目</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2、项目地点：山东科技大学幼儿园</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3、项目主要工程内容：幼儿园场地铺装人造草及悬浮地板等。</w:t>
      </w:r>
    </w:p>
    <w:p>
      <w:pPr>
        <w:pStyle w:val="23"/>
        <w:snapToGrid w:val="0"/>
        <w:spacing w:line="360" w:lineRule="auto"/>
        <w:ind w:firstLine="0"/>
        <w:rPr>
          <w:rFonts w:ascii="仿宋" w:hAnsi="仿宋" w:eastAsia="仿宋" w:cs="仿宋"/>
          <w:b/>
          <w:color w:val="000000" w:themeColor="text1"/>
          <w:kern w:val="0"/>
          <w:sz w:val="28"/>
          <w:szCs w:val="24"/>
          <w14:textFill>
            <w14:solidFill>
              <w14:schemeClr w14:val="tx1"/>
            </w14:solidFill>
          </w14:textFill>
        </w:rPr>
      </w:pPr>
      <w:r>
        <w:rPr>
          <w:rFonts w:hint="eastAsia" w:ascii="仿宋" w:hAnsi="仿宋" w:eastAsia="仿宋" w:cs="仿宋"/>
          <w:b/>
          <w:color w:val="000000" w:themeColor="text1"/>
          <w:kern w:val="0"/>
          <w:sz w:val="28"/>
          <w:szCs w:val="24"/>
          <w14:textFill>
            <w14:solidFill>
              <w14:schemeClr w14:val="tx1"/>
            </w14:solidFill>
          </w14:textFill>
        </w:rPr>
        <w:t>二、工程技术要求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bookmarkStart w:id="41" w:name="_Toc29214"/>
      <w:bookmarkEnd w:id="41"/>
      <w:r>
        <w:rPr>
          <w:rFonts w:hint="eastAsia" w:ascii="仿宋" w:hAnsi="仿宋" w:eastAsia="仿宋" w:cs="仿宋"/>
          <w:color w:val="000000" w:themeColor="text1"/>
          <w:kern w:val="0"/>
          <w:sz w:val="24"/>
          <w:szCs w:val="24"/>
          <w14:textFill>
            <w14:solidFill>
              <w14:schemeClr w14:val="tx1"/>
            </w14:solidFill>
          </w14:textFill>
        </w:rPr>
        <w:t>1、技术标准及规范</w:t>
      </w:r>
    </w:p>
    <w:p>
      <w:pPr>
        <w:pStyle w:val="23"/>
        <w:snapToGrid w:val="0"/>
        <w:spacing w:line="360" w:lineRule="auto"/>
        <w:ind w:firstLine="360" w:firstLineChars="15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供应商在施工中应执行国家、部、企业或有关国外(国际)的规定和标准，满足建筑、公共安全标准、节能、安全等要求，以及国家已发布实行的其他要求及规范。供应商在报价时应列出所执行规定和标准的名称及编号。</w:t>
      </w:r>
    </w:p>
    <w:p>
      <w:pPr>
        <w:pStyle w:val="23"/>
        <w:snapToGrid w:val="0"/>
        <w:spacing w:line="360" w:lineRule="auto"/>
        <w:ind w:firstLine="360" w:firstLineChars="15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须符合《建设工程质量管理条例》、《建筑施工安全检查标准》、《建筑工程质量验收标准》与国家、省、市现行的其它建设工程验收规范、施工技术标准、程序以及有关建筑材料准用制度、备案制度等有关文件、规定、规范和施工图纸要求等。</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其中应遵守但不仅限于如下规范：</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）《建筑工程施工质量验收统一标准》（GB50300-2013）；</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）《建筑电气工程施工质量验收规范》（GB50303-2011）；</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）《建筑安装工程质量检验评定统一标准》（GB50300-2013）；</w:t>
      </w:r>
    </w:p>
    <w:p>
      <w:pPr>
        <w:pStyle w:val="23"/>
        <w:snapToGrid w:val="0"/>
        <w:spacing w:line="360" w:lineRule="auto"/>
        <w:ind w:firstLine="360" w:firstLineChars="15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在环境保护方面，必须使用国家和山东省有关标准材料，并符合相关要求。</w:t>
      </w:r>
    </w:p>
    <w:p>
      <w:pPr>
        <w:pStyle w:val="23"/>
        <w:snapToGrid w:val="0"/>
        <w:spacing w:line="360" w:lineRule="auto"/>
        <w:ind w:firstLine="360" w:firstLineChars="15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有关安全、节能、环保等方面的强制性标准，供应商必须满足其要求。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基本要求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bookmarkStart w:id="42" w:name="_Toc185232326"/>
      <w:bookmarkStart w:id="43" w:name="_Toc163615803"/>
      <w:bookmarkStart w:id="44" w:name="_Toc183264300"/>
      <w:bookmarkStart w:id="45" w:name="_Toc173229828"/>
      <w:r>
        <w:rPr>
          <w:rFonts w:hint="eastAsia" w:ascii="仿宋" w:hAnsi="仿宋" w:eastAsia="仿宋" w:cs="仿宋"/>
          <w:color w:val="000000" w:themeColor="text1"/>
          <w:kern w:val="0"/>
          <w:sz w:val="24"/>
          <w:szCs w:val="24"/>
          <w14:textFill>
            <w14:solidFill>
              <w14:schemeClr w14:val="tx1"/>
            </w14:solidFill>
          </w14:textFill>
        </w:rPr>
        <w:t>2、技术要求</w:t>
      </w:r>
      <w:bookmarkEnd w:id="42"/>
      <w:bookmarkEnd w:id="43"/>
      <w:bookmarkEnd w:id="44"/>
      <w:bookmarkEnd w:id="45"/>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（1）原幼儿园西侧三角地区域清除地面原有材料，基层处理，做混凝土地面硬化。</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（2）幼儿园东侧区域铺装人造草。</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（3）幼儿园南侧广场铺装拼装式悬浮地板，材料须符合环保质量标准。</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3、其他要求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（1）供应商必须能够提供及时周到的售后服务。</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）总工期</w:t>
      </w:r>
      <w:r>
        <w:rPr>
          <w:rFonts w:ascii="仿宋" w:hAnsi="仿宋" w:eastAsia="仿宋" w:cs="仿宋"/>
          <w:color w:val="000000" w:themeColor="text1"/>
          <w:kern w:val="0"/>
          <w:sz w:val="24"/>
          <w:szCs w:val="24"/>
          <w14:textFill>
            <w14:solidFill>
              <w14:schemeClr w14:val="tx1"/>
            </w14:solidFill>
          </w14:textFill>
        </w:rPr>
        <w:t>35</w:t>
      </w:r>
      <w:r>
        <w:rPr>
          <w:rFonts w:hint="eastAsia" w:ascii="仿宋" w:hAnsi="仿宋" w:eastAsia="仿宋" w:cs="仿宋"/>
          <w:color w:val="000000" w:themeColor="text1"/>
          <w:kern w:val="0"/>
          <w:sz w:val="24"/>
          <w:szCs w:val="24"/>
          <w14:textFill>
            <w14:solidFill>
              <w14:schemeClr w14:val="tx1"/>
            </w14:solidFill>
          </w14:textFill>
        </w:rPr>
        <w:t>日历天，具体开工日期以采购人通知为准。</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）工程保修期： 1年。</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）提供平面布局图、施工图。</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4、开标现场需提供的样品：人造草，拼装式悬浮地板</w:t>
      </w:r>
    </w:p>
    <w:p>
      <w:pPr>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5、工程量清单及报价表（含暂列金）</w:t>
      </w:r>
    </w:p>
    <w:p>
      <w:pPr>
        <w:widowControl/>
        <w:jc w:val="center"/>
        <w:rPr>
          <w:rFonts w:ascii="宋体" w:hAnsi="宋体"/>
          <w:b/>
          <w:szCs w:val="32"/>
          <w:lang w:val="de-DE"/>
        </w:rPr>
      </w:pPr>
      <w:r>
        <w:rPr>
          <w:rFonts w:ascii="宋体" w:hAnsi="宋体"/>
          <w:b/>
          <w:szCs w:val="32"/>
          <w:lang w:val="de-DE"/>
        </w:rPr>
        <w:t>山东科技大学</w:t>
      </w:r>
      <w:r>
        <w:rPr>
          <w:rFonts w:hint="eastAsia" w:ascii="宋体" w:hAnsi="宋体" w:cs="仿宋"/>
          <w:b/>
          <w:szCs w:val="32"/>
          <w:lang w:val="de-DE"/>
        </w:rPr>
        <w:t>幼儿园员工宿舍</w:t>
      </w:r>
      <w:r>
        <w:rPr>
          <w:rFonts w:ascii="宋体" w:hAnsi="宋体"/>
          <w:b/>
          <w:szCs w:val="32"/>
          <w:lang w:val="de-DE"/>
        </w:rPr>
        <w:t>工程</w:t>
      </w:r>
      <w:r>
        <w:rPr>
          <w:rFonts w:hint="eastAsia" w:ascii="宋体" w:hAnsi="宋体"/>
          <w:b/>
          <w:szCs w:val="32"/>
          <w:lang w:val="de-DE"/>
        </w:rPr>
        <w:t>综合</w:t>
      </w:r>
      <w:r>
        <w:rPr>
          <w:rFonts w:ascii="宋体" w:hAnsi="宋体"/>
          <w:b/>
          <w:szCs w:val="32"/>
          <w:lang w:val="de-DE"/>
        </w:rPr>
        <w:t>报价表</w:t>
      </w:r>
    </w:p>
    <w:tbl>
      <w:tblPr>
        <w:tblStyle w:val="17"/>
        <w:tblW w:w="9062" w:type="dxa"/>
        <w:jc w:val="center"/>
        <w:tblInd w:w="-1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09"/>
        <w:gridCol w:w="3118"/>
        <w:gridCol w:w="1134"/>
        <w:gridCol w:w="567"/>
        <w:gridCol w:w="992"/>
        <w:gridCol w:w="8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49"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工程分项名称</w:t>
            </w:r>
          </w:p>
        </w:tc>
        <w:tc>
          <w:tcPr>
            <w:tcW w:w="709"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序号</w:t>
            </w:r>
          </w:p>
        </w:tc>
        <w:tc>
          <w:tcPr>
            <w:tcW w:w="31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工程内容</w:t>
            </w:r>
          </w:p>
        </w:tc>
        <w:tc>
          <w:tcPr>
            <w:tcW w:w="113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数量</w:t>
            </w:r>
          </w:p>
        </w:tc>
        <w:tc>
          <w:tcPr>
            <w:tcW w:w="567"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单位</w:t>
            </w:r>
          </w:p>
        </w:tc>
        <w:tc>
          <w:tcPr>
            <w:tcW w:w="99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综合单价(元)</w:t>
            </w:r>
          </w:p>
        </w:tc>
        <w:tc>
          <w:tcPr>
            <w:tcW w:w="85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（元）</w:t>
            </w: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 w:type="dxa"/>
            <w:vMerge w:val="restart"/>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草坪铺装</w:t>
            </w: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修补场地坑洼处：EPDM破损处铲平后修补厚度13mm、人造草坪及悬浮式地板铺设下方不平地方找平。</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 w:type="dxa"/>
            <w:vMerge w:val="continue"/>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118" w:type="dxa"/>
            <w:vAlign w:val="center"/>
          </w:tcPr>
          <w:p>
            <w:pPr>
              <w:adjustRightInd w:val="0"/>
              <w:snapToGrid w:val="0"/>
              <w:spacing w:line="252"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休闲草铺装：含广场、大型滑梯</w:t>
            </w:r>
          </w:p>
        </w:tc>
        <w:tc>
          <w:tcPr>
            <w:tcW w:w="1134"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802.4</w:t>
            </w:r>
          </w:p>
        </w:tc>
        <w:tc>
          <w:tcPr>
            <w:tcW w:w="567"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restart"/>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悬浮地   板铺装</w:t>
            </w: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3118" w:type="dxa"/>
            <w:vAlign w:val="center"/>
          </w:tcPr>
          <w:p>
            <w:pPr>
              <w:adjustRightInd w:val="0"/>
              <w:snapToGrid w:val="0"/>
              <w:spacing w:line="252"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挖一般土方</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1.土壤类别:三类土</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2.部位:三角区铺装区下                     3.深度:20cm              4.运距15公里（甲方不提供卸点）</w:t>
            </w:r>
          </w:p>
        </w:tc>
        <w:tc>
          <w:tcPr>
            <w:tcW w:w="1134"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230.5</w:t>
            </w:r>
          </w:p>
        </w:tc>
        <w:tc>
          <w:tcPr>
            <w:tcW w:w="567"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118" w:type="dxa"/>
            <w:vAlign w:val="center"/>
          </w:tcPr>
          <w:p>
            <w:pPr>
              <w:adjustRightInd w:val="0"/>
              <w:snapToGrid w:val="0"/>
              <w:spacing w:line="252"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C25商砼垫层</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1.厚度:10cm</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xml:space="preserve">2.部位: 三角区                   </w:t>
            </w:r>
          </w:p>
        </w:tc>
        <w:tc>
          <w:tcPr>
            <w:tcW w:w="1134"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230.5</w:t>
            </w:r>
          </w:p>
        </w:tc>
        <w:tc>
          <w:tcPr>
            <w:tcW w:w="567"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31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拆除原旗杆台一座</w:t>
            </w:r>
          </w:p>
        </w:tc>
        <w:tc>
          <w:tcPr>
            <w:tcW w:w="1134"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67"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处</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3118" w:type="dxa"/>
            <w:vAlign w:val="center"/>
          </w:tcPr>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移除树木3棵</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棵</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3118" w:type="dxa"/>
            <w:vAlign w:val="center"/>
          </w:tcPr>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悬浮式地板</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1064.24</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新建旗杆地面硬化：C25商砼厚度15cm、半圆模板支护。</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10.62</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安装旗杆一根：含基础底座60cm×60cm×80cm、钢制预埋件</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窗下新建防腐木储藏柜：5.2×0.6×1m中间隔断板。</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不锈钢储物架2处：长4m、宽1.02m、高1.6m，中间两层隔断</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Merge w:val="continue"/>
            <w:vAlign w:val="center"/>
          </w:tcPr>
          <w:p>
            <w:pPr>
              <w:rPr>
                <w:rFonts w:ascii="仿宋" w:hAnsi="仿宋" w:eastAsia="仿宋" w:cs="仿宋"/>
                <w:color w:val="000000" w:themeColor="text1"/>
                <w:kern w:val="0"/>
                <w:sz w:val="24"/>
                <w:szCs w:val="24"/>
                <w14:textFill>
                  <w14:solidFill>
                    <w14:schemeClr w14:val="tx1"/>
                  </w14:solidFill>
                </w14:textFill>
              </w:rPr>
            </w:pP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西侧台阶防腐木斜坡：长6.3、宽1m</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w:t>
            </w: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9" w:type="dxa"/>
            <w:vAlign w:val="center"/>
          </w:tcPr>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暂列金</w:t>
            </w:r>
          </w:p>
        </w:tc>
        <w:tc>
          <w:tcPr>
            <w:tcW w:w="709"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3118" w:type="dxa"/>
            <w:vAlign w:val="center"/>
          </w:tcPr>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10000.00</w:t>
            </w:r>
          </w:p>
        </w:tc>
        <w:tc>
          <w:tcPr>
            <w:tcW w:w="1134"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567"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992"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851"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4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bl>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注：报价表中所有报价均为含税报价，综合单价为工程验收合格结算价，包括材料费、人工费、管理费、税金等所有施工结算中发生的各种费用。</w:t>
      </w:r>
    </w:p>
    <w:p>
      <w:pPr>
        <w:rPr>
          <w:szCs w:val="24"/>
          <w:lang w:val="de-DE"/>
        </w:rPr>
      </w:pPr>
    </w:p>
    <w:p>
      <w:pPr>
        <w:rPr>
          <w:lang w:val="de-DE"/>
        </w:rPr>
      </w:pPr>
    </w:p>
    <w:p>
      <w:pPr>
        <w:pStyle w:val="3"/>
        <w:pageBreakBefore/>
        <w:spacing w:before="0" w:after="0" w:line="360" w:lineRule="auto"/>
        <w:jc w:val="center"/>
        <w:rPr>
          <w:rFonts w:ascii="仿宋" w:hAnsi="仿宋" w:eastAsia="仿宋" w:cs="仿宋"/>
          <w:b w:val="0"/>
          <w:color w:val="000000" w:themeColor="text1"/>
          <w14:textFill>
            <w14:solidFill>
              <w14:schemeClr w14:val="tx1"/>
            </w14:solidFill>
          </w14:textFill>
        </w:rPr>
      </w:pPr>
      <w:bookmarkStart w:id="46" w:name="_Toc535048517"/>
      <w:bookmarkStart w:id="47" w:name="_Toc2057"/>
      <w:r>
        <w:rPr>
          <w:rFonts w:hint="eastAsia" w:ascii="仿宋" w:hAnsi="仿宋" w:eastAsia="仿宋" w:cs="仿宋"/>
          <w:b w:val="0"/>
          <w:color w:val="000000" w:themeColor="text1"/>
          <w14:textFill>
            <w14:solidFill>
              <w14:schemeClr w14:val="tx1"/>
            </w14:solidFill>
          </w14:textFill>
        </w:rPr>
        <w:t>第五章   响应文件格式</w:t>
      </w:r>
      <w:bookmarkEnd w:id="46"/>
      <w:bookmarkEnd w:id="47"/>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48" w:name="_Toc8874"/>
      <w:bookmarkStart w:id="49" w:name="_Toc535048518"/>
      <w:r>
        <w:rPr>
          <w:rFonts w:hint="eastAsia" w:ascii="仿宋" w:hAnsi="仿宋" w:eastAsia="仿宋" w:cs="仿宋"/>
          <w:b w:val="0"/>
          <w:color w:val="000000" w:themeColor="text1"/>
          <w14:textFill>
            <w14:solidFill>
              <w14:schemeClr w14:val="tx1"/>
            </w14:solidFill>
          </w14:textFill>
        </w:rPr>
        <w:t>第一部分 报价函部分格式</w:t>
      </w:r>
      <w:bookmarkEnd w:id="48"/>
      <w:bookmarkEnd w:id="49"/>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一、授权委托书</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本授权委托书声明：我 </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 xml:space="preserve">   (供应商名称)    </w:t>
      </w:r>
      <w:r>
        <w:rPr>
          <w:rFonts w:hint="eastAsia" w:ascii="仿宋" w:hAnsi="仿宋" w:eastAsia="仿宋" w:cs="仿宋"/>
          <w:color w:val="000000" w:themeColor="text1"/>
          <w:sz w:val="24"/>
          <w:szCs w:val="24"/>
          <w14:textFill>
            <w14:solidFill>
              <w14:schemeClr w14:val="tx1"/>
            </w14:solidFill>
          </w14:textFill>
        </w:rPr>
        <w:t>的法定代表人，现授权委托</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为我公司签署</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工程的响应文件的法定代表人授权委托代理人，我承认代理人全权代表我所签署的本工程的响应文件的内容。</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代理人无转委托权，特此委托。</w:t>
      </w:r>
    </w:p>
    <w:tbl>
      <w:tblPr>
        <w:tblStyle w:val="17"/>
        <w:tblW w:w="6716" w:type="dxa"/>
        <w:jc w:val="center"/>
        <w:tblInd w:w="0" w:type="dxa"/>
        <w:tblLayout w:type="fixed"/>
        <w:tblCellMar>
          <w:top w:w="0" w:type="dxa"/>
          <w:left w:w="108" w:type="dxa"/>
          <w:bottom w:w="0" w:type="dxa"/>
          <w:right w:w="108" w:type="dxa"/>
        </w:tblCellMar>
      </w:tblPr>
      <w:tblGrid>
        <w:gridCol w:w="6716"/>
      </w:tblGrid>
      <w:tr>
        <w:tblPrEx>
          <w:tblLayout w:type="fixed"/>
          <w:tblCellMar>
            <w:top w:w="0" w:type="dxa"/>
            <w:left w:w="108" w:type="dxa"/>
            <w:bottom w:w="0" w:type="dxa"/>
            <w:right w:w="108" w:type="dxa"/>
          </w:tblCellMar>
        </w:tblPrEx>
        <w:trPr>
          <w:trHeight w:val="4364"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授权委托人的身份证明</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（粘贴处）</w:t>
            </w:r>
          </w:p>
        </w:tc>
      </w:tr>
    </w:tbl>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职务：</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u w:val="single"/>
          <w14:textFill>
            <w14:solidFill>
              <w14:schemeClr w14:val="tx1"/>
            </w14:solidFill>
          </w14:textFill>
        </w:rPr>
        <w:t xml:space="preserve">                                    （盖章）</w:t>
      </w:r>
    </w:p>
    <w:p>
      <w:pPr>
        <w:tabs>
          <w:tab w:val="center" w:pos="4153"/>
        </w:tabs>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u w:val="single"/>
          <w14:textFill>
            <w14:solidFill>
              <w14:schemeClr w14:val="tx1"/>
            </w14:solidFill>
          </w14:textFill>
        </w:rPr>
        <w:t xml:space="preserve">               （签字或盖章）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 报 价 函</w:t>
      </w:r>
    </w:p>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根据已收到的贵方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工程的磋商文件，我方经考察现场和仔细研究磋商文件的全部内容，已完全理解并全部接受磋商文件的所有要求，并考虑到了潜在所有风险。据此，我们愿以人民币详见下表：</w:t>
      </w:r>
    </w:p>
    <w:tbl>
      <w:tblPr>
        <w:tblStyle w:val="17"/>
        <w:tblW w:w="8533" w:type="dxa"/>
        <w:tblInd w:w="-5" w:type="dxa"/>
        <w:tblLayout w:type="fixed"/>
        <w:tblCellMar>
          <w:top w:w="0" w:type="dxa"/>
          <w:left w:w="108" w:type="dxa"/>
          <w:bottom w:w="0" w:type="dxa"/>
          <w:right w:w="108" w:type="dxa"/>
        </w:tblCellMar>
      </w:tblPr>
      <w:tblGrid>
        <w:gridCol w:w="1583"/>
        <w:gridCol w:w="1301"/>
        <w:gridCol w:w="1512"/>
        <w:gridCol w:w="1036"/>
        <w:gridCol w:w="1746"/>
        <w:gridCol w:w="1355"/>
      </w:tblGrid>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p>
        </w:tc>
        <w:tc>
          <w:tcPr>
            <w:tcW w:w="1301"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规格 </w:t>
            </w:r>
          </w:p>
        </w:tc>
        <w:tc>
          <w:tcPr>
            <w:tcW w:w="1512"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103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74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合价（元）</w:t>
            </w:r>
          </w:p>
        </w:tc>
        <w:tc>
          <w:tcPr>
            <w:tcW w:w="135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8533" w:type="dxa"/>
            <w:gridSpan w:val="6"/>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left"/>
              <w:rPr>
                <w:rFonts w:ascii="仿宋" w:hAnsi="仿宋" w:eastAsia="仿宋" w:cs="仿宋"/>
                <w:color w:val="000000" w:themeColor="text1"/>
                <w:sz w:val="24"/>
                <w:szCs w:val="24"/>
                <w14:textFill>
                  <w14:solidFill>
                    <w14:schemeClr w14:val="tx1"/>
                  </w14:solidFill>
                </w14:textFill>
              </w:rPr>
            </w:pPr>
          </w:p>
        </w:tc>
      </w:tr>
    </w:tbl>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的响应报价，按合同条款、技术要求及规范等要求承包上述工程的施工、竣工并承担保修责任。</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1、一旦我方成交，我方保证在在收到开工通知书后，按要求的时间开工。</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3、在制定和签署一份正式协议书之前，本报价函连同贵方的书面成交通知，将构成约束贵我双方的合同。</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4、我方也理解，不论成交与否，贵方不承担我方的任何响应费用。</w:t>
      </w:r>
    </w:p>
    <w:p>
      <w:pPr>
        <w:snapToGrid w:val="0"/>
        <w:spacing w:line="360" w:lineRule="auto"/>
        <w:ind w:firstLine="48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供应商（盖章）：                   法定代表人（签字）：</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p>
    <w:p>
      <w:pPr>
        <w:wordWrap w:val="0"/>
        <w:snapToGrid w:val="0"/>
        <w:spacing w:line="360" w:lineRule="auto"/>
        <w:ind w:firstLine="482"/>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pageBreakBefore/>
        <w:spacing w:line="360" w:lineRule="auto"/>
        <w:ind w:firstLine="480"/>
        <w:rPr>
          <w:rFonts w:ascii="仿宋" w:hAnsi="仿宋" w:eastAsia="仿宋" w:cs="仿宋"/>
          <w:color w:val="000000" w:themeColor="text1"/>
          <w:sz w:val="24"/>
          <w:szCs w:val="24"/>
          <w14:textFill>
            <w14:solidFill>
              <w14:schemeClr w14:val="tx1"/>
            </w14:solidFill>
          </w14:textFill>
        </w:rPr>
      </w:pP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三、报价一览表</w:t>
      </w:r>
    </w:p>
    <w:tbl>
      <w:tblPr>
        <w:tblStyle w:val="17"/>
        <w:tblW w:w="8709" w:type="dxa"/>
        <w:jc w:val="center"/>
        <w:tblInd w:w="0" w:type="dxa"/>
        <w:tblLayout w:type="fixed"/>
        <w:tblCellMar>
          <w:top w:w="0" w:type="dxa"/>
          <w:left w:w="108" w:type="dxa"/>
          <w:bottom w:w="0" w:type="dxa"/>
          <w:right w:w="108" w:type="dxa"/>
        </w:tblCellMar>
      </w:tblPr>
      <w:tblGrid>
        <w:gridCol w:w="1940"/>
        <w:gridCol w:w="1197"/>
        <w:gridCol w:w="1737"/>
        <w:gridCol w:w="1396"/>
        <w:gridCol w:w="2439"/>
      </w:tblGrid>
      <w:tr>
        <w:tblPrEx>
          <w:tblLayout w:type="fixed"/>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大写：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小写：             元</w:t>
            </w: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共</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个日历日</w:t>
            </w:r>
          </w:p>
        </w:tc>
      </w:tr>
      <w:tr>
        <w:tblPrEx>
          <w:tblLayout w:type="fixed"/>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对磋商文件</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注：本唱价单除含在响应文件中，另外必须单独密封一份，用以公开报价。</w:t>
            </w:r>
          </w:p>
        </w:tc>
      </w:tr>
    </w:tbl>
    <w:p>
      <w:pPr>
        <w:spacing w:line="360" w:lineRule="auto"/>
        <w:rPr>
          <w:rFonts w:ascii="仿宋" w:hAnsi="仿宋" w:eastAsia="仿宋" w:cs="仿宋"/>
          <w:bCs/>
          <w:color w:val="000000" w:themeColor="text1"/>
          <w:sz w:val="24"/>
          <w:szCs w:val="24"/>
          <w14:textFill>
            <w14:solidFill>
              <w14:schemeClr w14:val="tx1"/>
            </w14:solidFill>
          </w14:textFill>
        </w:rPr>
      </w:pP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供应商（盖章）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法定代表人或委托代理人：（签字或盖章）</w:t>
      </w:r>
    </w:p>
    <w:p>
      <w:pPr>
        <w:spacing w:line="360" w:lineRule="auto"/>
        <w:ind w:firstLine="410"/>
        <w:rPr>
          <w:rFonts w:ascii="仿宋" w:hAnsi="仿宋" w:eastAsia="仿宋" w:cs="仿宋"/>
          <w:color w:val="000000" w:themeColor="text1"/>
          <w:sz w:val="24"/>
          <w:szCs w:val="24"/>
          <w14:textFill>
            <w14:solidFill>
              <w14:schemeClr w14:val="tx1"/>
            </w14:solidFill>
          </w14:textFill>
        </w:rPr>
      </w:pPr>
    </w:p>
    <w:p>
      <w:pPr>
        <w:spacing w:line="360" w:lineRule="auto"/>
        <w:ind w:firstLine="35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Style w:val="4"/>
        <w:pageBreakBefore/>
        <w:jc w:val="center"/>
        <w:rPr>
          <w:rFonts w:ascii="仿宋" w:hAnsi="仿宋" w:eastAsia="仿宋" w:cs="仿宋"/>
          <w:b w:val="0"/>
          <w:color w:val="000000" w:themeColor="text1"/>
          <w14:textFill>
            <w14:solidFill>
              <w14:schemeClr w14:val="tx1"/>
            </w14:solidFill>
          </w14:textFill>
        </w:rPr>
      </w:pPr>
      <w:bookmarkStart w:id="50" w:name="_Toc535048519"/>
      <w:bookmarkStart w:id="51" w:name="_Toc31818"/>
      <w:r>
        <w:rPr>
          <w:rFonts w:hint="eastAsia" w:ascii="仿宋" w:hAnsi="仿宋" w:eastAsia="仿宋" w:cs="仿宋"/>
          <w:b w:val="0"/>
          <w:color w:val="000000" w:themeColor="text1"/>
          <w14:textFill>
            <w14:solidFill>
              <w14:schemeClr w14:val="tx1"/>
            </w14:solidFill>
          </w14:textFill>
        </w:rPr>
        <w:t>第二部分 商务部分格式</w:t>
      </w:r>
      <w:bookmarkEnd w:id="50"/>
      <w:bookmarkEnd w:id="51"/>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一、工程量清单</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1.详见第四章工程量清单及报价表</w:t>
      </w:r>
    </w:p>
    <w:p>
      <w:pPr>
        <w:rPr>
          <w:rFonts w:ascii="仿宋" w:hAnsi="仿宋" w:eastAsia="仿宋" w:cs="仿宋"/>
          <w:color w:val="000000" w:themeColor="text1"/>
          <w14:textFill>
            <w14:solidFill>
              <w14:schemeClr w14:val="tx1"/>
            </w14:solidFill>
          </w14:textFill>
        </w:rPr>
      </w:pPr>
    </w:p>
    <w:p>
      <w:pPr>
        <w:pStyle w:val="4"/>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br w:type="page"/>
      </w:r>
      <w:bookmarkStart w:id="52" w:name="_Toc18128"/>
      <w:bookmarkStart w:id="53" w:name="_Toc535048520"/>
      <w:r>
        <w:rPr>
          <w:rFonts w:hint="eastAsia" w:ascii="仿宋" w:hAnsi="仿宋" w:eastAsia="仿宋" w:cs="仿宋"/>
          <w:b w:val="0"/>
          <w:color w:val="000000" w:themeColor="text1"/>
          <w14:textFill>
            <w14:solidFill>
              <w14:schemeClr w14:val="tx1"/>
            </w14:solidFill>
          </w14:textFill>
        </w:rPr>
        <w:t>第三部分 技术部分</w:t>
      </w:r>
      <w:bookmarkEnd w:id="52"/>
      <w:bookmarkEnd w:id="53"/>
    </w:p>
    <w:p>
      <w:pPr>
        <w:overflowPunct w:val="0"/>
        <w:autoSpaceDE w:val="0"/>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一、施工组织设计</w:t>
      </w:r>
    </w:p>
    <w:p>
      <w:pPr>
        <w:autoSpaceDE w:val="0"/>
        <w:snapToGrid w:val="0"/>
        <w:spacing w:line="360" w:lineRule="auto"/>
        <w:ind w:right="-103"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color w:val="000000" w:themeColor="text1"/>
          <w:sz w:val="24"/>
          <w:szCs w:val="24"/>
          <w14:textFill>
            <w14:solidFill>
              <w14:schemeClr w14:val="tx1"/>
            </w14:solidFill>
          </w14:textFill>
        </w:rPr>
      </w:pPr>
    </w:p>
    <w:p>
      <w:pPr>
        <w:pStyle w:val="3"/>
        <w:pageBreakBefore/>
        <w:jc w:val="center"/>
        <w:rPr>
          <w:rFonts w:ascii="仿宋" w:hAnsi="仿宋" w:eastAsia="仿宋" w:cs="仿宋"/>
          <w:b w:val="0"/>
          <w:color w:val="000000" w:themeColor="text1"/>
          <w14:textFill>
            <w14:solidFill>
              <w14:schemeClr w14:val="tx1"/>
            </w14:solidFill>
          </w14:textFill>
        </w:rPr>
      </w:pPr>
      <w:bookmarkStart w:id="54" w:name="_Toc535048521"/>
      <w:bookmarkStart w:id="55" w:name="_Toc9539"/>
      <w:r>
        <w:rPr>
          <w:rFonts w:hint="eastAsia" w:ascii="仿宋" w:hAnsi="仿宋" w:eastAsia="仿宋" w:cs="仿宋"/>
          <w:b w:val="0"/>
          <w:color w:val="000000" w:themeColor="text1"/>
          <w14:textFill>
            <w14:solidFill>
              <w14:schemeClr w14:val="tx1"/>
            </w14:solidFill>
          </w14:textFill>
        </w:rPr>
        <w:t>第六章 具体评审办法</w:t>
      </w:r>
      <w:bookmarkEnd w:id="54"/>
      <w:bookmarkEnd w:id="55"/>
    </w:p>
    <w:p>
      <w:pPr>
        <w:autoSpaceDE w:val="0"/>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第一步：响应文件的符合性鉴定</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响应文件应实质性响应磋商文件的所有条款、条件，</w:t>
      </w:r>
      <w:r>
        <w:rPr>
          <w:rFonts w:hint="eastAsia" w:ascii="仿宋" w:hAnsi="仿宋" w:eastAsia="仿宋" w:cs="仿宋"/>
          <w:color w:val="000000" w:themeColor="text1"/>
          <w:spacing w:val="-6"/>
          <w:sz w:val="24"/>
          <w:szCs w:val="24"/>
          <w14:textFill>
            <w14:solidFill>
              <w14:schemeClr w14:val="tx1"/>
            </w14:solidFill>
          </w14:textFill>
        </w:rPr>
        <w:t>无显著的差异或保留</w:t>
      </w:r>
      <w:r>
        <w:rPr>
          <w:rFonts w:hint="eastAsia" w:ascii="仿宋" w:hAnsi="仿宋" w:eastAsia="仿宋" w:cs="仿宋"/>
          <w:color w:val="000000" w:themeColor="text1"/>
          <w:sz w:val="24"/>
          <w:szCs w:val="24"/>
          <w14:textFill>
            <w14:solidFill>
              <w14:schemeClr w14:val="tx1"/>
            </w14:solidFill>
          </w14:textFill>
        </w:rPr>
        <w:t>，按照磋商文件要求，无漏项和不合理的多项。本步骤主要考察以下内容：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1）响应文件涂改、增删处应有授权代表签字；</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3）响应文件应有单位盖章并有法定代表人或法定代表人授权的代理人签字或盖章；</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4）响应文件内容齐全、关键字迹应清晰、便于辨认；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5）本项目不接受多方案报价；</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6）供应商名称或企业组织机构与资格审查时应一致；</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7）应按磋商文件要求提交保证金。</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第二步：对响应文件的澄清</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第三步：综合评分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各评委在充分审阅供应商响应文件的基础上，按照评分标准对每个供应商进行分项打分。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第四步：名次评定及授标</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注：对同一包而言，得分相同者，报价低的，名次在前；若报价也相同，则以技术响应更优者，名次在前。</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成交条件：响应文件能最大限度的满足磋商文件要求，综合得分最高，且能履行合同者。</w:t>
      </w:r>
    </w:p>
    <w:p>
      <w:pPr>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评审办法</w:t>
      </w:r>
    </w:p>
    <w:tbl>
      <w:tblPr>
        <w:tblStyle w:val="17"/>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以满足磋商文件要求且最终报价最低的报价为评标基准价，其价格分为满分40分，其他供应商的价格分按照下列公式计算：报价得分=（评标基准价/最终报价）×40×100%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自2016年1月1日以来已完成的同类项目业绩，每提供1份得1分，最多得8分（须提供合同原件，未提供原件不得分）。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工程保修期在满足磋商文件要求的基础上每延长一年的得1分，最多得2分。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1、根据工程材料品牌、产地、规格、型号标注的详细程度得0-2分；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2、供应商拟投入本项目施工所用的材料是否符合采购人要求及国家环保要求,质量可靠，并附有关证明材料。响应要求并根据所报材料的品牌、质量等，优得10-13分，良得6-9分，一般得1-5分；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3、按照磋商文件要求提供样品的齐全程度及样品质量，得0-5分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1、施工方案先进及合理情况0-3分；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2、工序安排合理情况 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3、工期进度及控制点设置合理（结合施工横道图）,满足工期要求情况0-3分；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4、机械设备是否满足工程需要情况0-3分；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5、劳动力组织均衡情况0-3分；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质量保证措施、隐蔽工程验收方法、主动提供信息供接受甲方监督等进行评分，酌情得0-5分。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1、现场安全生产措施酌情得0-2分；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1、根据服务承诺的内容和保障措施优劣酌情得0-2分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）以上评标标准中要求供应商提交相关证明材料原件（或复印件）的，未装订在响应文件中的不得分。</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color w:val="000000" w:themeColor="text1"/>
          <w:sz w:val="24"/>
          <w:szCs w:val="24"/>
          <w14:textFill>
            <w14:solidFill>
              <w14:schemeClr w14:val="tx1"/>
            </w14:solidFill>
          </w14:textFill>
        </w:rPr>
        <w:sectPr>
          <w:headerReference r:id="rId3" w:type="default"/>
          <w:footerReference r:id="rId4" w:type="default"/>
          <w:pgSz w:w="11907" w:h="16840"/>
          <w:pgMar w:top="1247" w:right="1418" w:bottom="1247" w:left="1622" w:header="851"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bookmarkStart w:id="56" w:name="_Toc17222"/>
      <w:r>
        <w:rPr>
          <w:rFonts w:hint="eastAsia" w:ascii="仿宋" w:hAnsi="仿宋" w:eastAsia="仿宋" w:cs="仿宋"/>
          <w:b w:val="0"/>
          <w:color w:val="000000" w:themeColor="text1"/>
          <w14:textFill>
            <w14:solidFill>
              <w14:schemeClr w14:val="tx1"/>
            </w14:solidFill>
          </w14:textFill>
        </w:rPr>
        <w:t>第七章  响应文件格式</w:t>
      </w:r>
      <w:bookmarkEnd w:id="56"/>
    </w:p>
    <w:p>
      <w:pPr>
        <w:spacing w:line="48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w:t>
      </w:r>
    </w:p>
    <w:p>
      <w:pPr>
        <w:spacing w:before="100" w:beforeAutospacing="1" w:after="100" w:afterAutospacing="1"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在经营活动中没有重大违法记录的书面声明</w:t>
      </w:r>
    </w:p>
    <w:p>
      <w:pPr>
        <w:spacing w:line="440" w:lineRule="exact"/>
        <w:jc w:val="center"/>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我方在参加（项目名称）采购活动前3年内，我方被公开披露或查处的违法违规行为有：，但在经营活动中没有重大违法记录（重大违法记录指</w:t>
      </w:r>
      <w:r>
        <w:rPr>
          <w:rFonts w:hint="eastAsia" w:ascii="仿宋" w:hAnsi="仿宋" w:eastAsia="仿宋" w:cs="仿宋"/>
          <w:color w:val="000000" w:themeColor="text1"/>
          <w:kern w:val="0"/>
          <w:sz w:val="24"/>
          <w:szCs w:val="24"/>
          <w14:textFill>
            <w14:solidFill>
              <w14:schemeClr w14:val="tx1"/>
            </w14:solidFill>
          </w14:textFill>
        </w:rPr>
        <w:t>供应商因违法经营受到刑事处罚或者责令停产停业、吊销许可证或者执照、较大数额罚款等行政处罚）</w:t>
      </w:r>
      <w:r>
        <w:rPr>
          <w:rFonts w:hint="eastAsia" w:ascii="仿宋" w:hAnsi="仿宋" w:eastAsia="仿宋" w:cs="仿宋"/>
          <w:color w:val="000000" w:themeColor="text1"/>
          <w:sz w:val="24"/>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  应  商：（盖单位公章）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      期：年月日</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备注：供应商没有被公开披露或查处违法违规行为的，注明“无”即可。</w:t>
      </w: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widowControl/>
        <w:autoSpaceDE w:val="0"/>
        <w:autoSpaceDN w:val="0"/>
        <w:adjustRightInd w:val="0"/>
        <w:spacing w:line="440" w:lineRule="exact"/>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附件2：</w:t>
      </w:r>
    </w:p>
    <w:p>
      <w:pPr>
        <w:widowControl/>
        <w:autoSpaceDE w:val="0"/>
        <w:autoSpaceDN w:val="0"/>
        <w:adjustRightInd w:val="0"/>
        <w:spacing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采购诚信承诺书</w:t>
      </w:r>
    </w:p>
    <w:p>
      <w:pPr>
        <w:widowControl/>
        <w:autoSpaceDE w:val="0"/>
        <w:autoSpaceDN w:val="0"/>
        <w:adjustRightInd w:val="0"/>
        <w:spacing w:line="440" w:lineRule="exact"/>
        <w:rPr>
          <w:rFonts w:ascii="仿宋" w:hAnsi="仿宋" w:eastAsia="仿宋" w:cs="仿宋"/>
          <w:bCs/>
          <w:color w:val="000000" w:themeColor="text1"/>
          <w:sz w:val="24"/>
          <w:szCs w:val="24"/>
          <w14:textFill>
            <w14:solidFill>
              <w14:schemeClr w14:val="tx1"/>
            </w14:solidFill>
          </w14:textFill>
        </w:rPr>
      </w:pPr>
    </w:p>
    <w:p>
      <w:pPr>
        <w:widowControl/>
        <w:autoSpaceDE w:val="0"/>
        <w:autoSpaceDN w:val="0"/>
        <w:adjustRightIn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二、遵纪守法，公平竞争。不与其他供应商相互串通、</w:t>
      </w:r>
      <w:r>
        <w:rPr>
          <w:rFonts w:hint="eastAsia" w:ascii="仿宋" w:hAnsi="仿宋" w:eastAsia="仿宋" w:cs="仿宋"/>
          <w:color w:val="000000" w:themeColor="text1"/>
          <w:kern w:val="0"/>
          <w:sz w:val="24"/>
          <w:szCs w:val="24"/>
          <w14:textFill>
            <w14:solidFill>
              <w14:schemeClr w14:val="tx1"/>
            </w14:solidFill>
          </w14:textFill>
        </w:rPr>
        <w:t>哄抬价格，</w:t>
      </w:r>
      <w:r>
        <w:rPr>
          <w:rStyle w:val="39"/>
          <w:rFonts w:hint="eastAsia" w:cs="仿宋"/>
          <w:color w:val="000000" w:themeColor="text1"/>
          <w:sz w:val="24"/>
          <w:szCs w:val="24"/>
          <w14:textFill>
            <w14:solidFill>
              <w14:schemeClr w14:val="tx1"/>
            </w14:solidFill>
          </w14:textFill>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若有违反以上承诺内容的行为，我公司自愿接受取消投标资格、记入信用档案、没收保证金、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供应商名称(盖公章)：</w:t>
      </w: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法定代表人（签字）：</w:t>
      </w:r>
    </w:p>
    <w:p>
      <w:pPr>
        <w:widowControl/>
        <w:autoSpaceDE w:val="0"/>
        <w:autoSpaceDN w:val="0"/>
        <w:adjustRightInd w:val="0"/>
        <w:spacing w:line="440" w:lineRule="exact"/>
        <w:ind w:right="-481" w:firstLine="720"/>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年月日</w:t>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勘察现场登记表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tbl>
      <w:tblPr>
        <w:tblStyle w:val="17"/>
        <w:tblW w:w="8533" w:type="dxa"/>
        <w:tblInd w:w="-5" w:type="dxa"/>
        <w:tblLayout w:type="fixed"/>
        <w:tblCellMar>
          <w:top w:w="0" w:type="dxa"/>
          <w:left w:w="108" w:type="dxa"/>
          <w:bottom w:w="0" w:type="dxa"/>
          <w:right w:w="108" w:type="dxa"/>
        </w:tblCellMar>
      </w:tblPr>
      <w:tblGrid>
        <w:gridCol w:w="3917"/>
        <w:gridCol w:w="4616"/>
      </w:tblGrid>
      <w:tr>
        <w:tblPrEx>
          <w:tblLayout w:type="fixed"/>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项目包号：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勘察地点：</w:t>
            </w:r>
          </w:p>
        </w:tc>
      </w:tr>
      <w:tr>
        <w:tblPrEx>
          <w:tblLayout w:type="fixed"/>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r>
        <w:tblPrEx>
          <w:tblLayout w:type="fixed"/>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bl>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本项目勘察现场供应商需进行签字确认。登记表原件胶装在正本，复印件胶装在副本。</w:t>
      </w:r>
      <w:r>
        <w:rPr>
          <w:rFonts w:hint="eastAsia" w:ascii="仿宋" w:hAnsi="仿宋" w:eastAsia="仿宋" w:cs="仿宋"/>
          <w:color w:val="000000" w:themeColor="text1"/>
          <w:sz w:val="24"/>
          <w:szCs w:val="24"/>
          <w14:textFill>
            <w14:solidFill>
              <w14:schemeClr w14:val="tx1"/>
            </w14:solidFill>
          </w14:textFill>
        </w:rPr>
        <w:t xml:space="preserve"> </w:t>
      </w: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保证金退还申请表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公司名称（公章）：                              时间：</w:t>
      </w:r>
    </w:p>
    <w:tbl>
      <w:tblPr>
        <w:tblStyle w:val="17"/>
        <w:tblW w:w="8283" w:type="dxa"/>
        <w:tblInd w:w="108" w:type="dxa"/>
        <w:tblLayout w:type="fixed"/>
        <w:tblCellMar>
          <w:top w:w="0" w:type="dxa"/>
          <w:left w:w="108" w:type="dxa"/>
          <w:bottom w:w="0" w:type="dxa"/>
          <w:right w:w="108" w:type="dxa"/>
        </w:tblCellMar>
      </w:tblPr>
      <w:tblGrid>
        <w:gridCol w:w="3960"/>
        <w:gridCol w:w="4323"/>
      </w:tblGrid>
      <w:tr>
        <w:tblPrEx>
          <w:tblLayout w:type="fixed"/>
          <w:tblCellMar>
            <w:top w:w="0" w:type="dxa"/>
            <w:left w:w="108" w:type="dxa"/>
            <w:bottom w:w="0" w:type="dxa"/>
            <w:right w:w="108" w:type="dxa"/>
          </w:tblCellMar>
        </w:tblPrEx>
        <w:trPr>
          <w:trHeight w:val="768" w:hRule="atLeast"/>
        </w:trPr>
        <w:tc>
          <w:tcPr>
            <w:tcW w:w="3960" w:type="dxa"/>
            <w:tcBorders>
              <w:top w:val="single" w:color="000000" w:sz="4" w:space="0"/>
              <w:left w:val="single" w:color="000000" w:sz="4" w:space="0"/>
              <w:bottom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4323" w:type="dxa"/>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760"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所响应段：</w:t>
            </w:r>
          </w:p>
        </w:tc>
      </w:tr>
      <w:tr>
        <w:tblPrEx>
          <w:tblLayout w:type="fixed"/>
          <w:tblCellMar>
            <w:top w:w="0" w:type="dxa"/>
            <w:left w:w="108" w:type="dxa"/>
            <w:bottom w:w="0" w:type="dxa"/>
            <w:right w:w="108" w:type="dxa"/>
          </w:tblCellMar>
        </w:tblPrEx>
        <w:trPr>
          <w:trHeight w:val="77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交纳保证金时间: </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交纳保证金方式（现金/电汇）:</w:t>
            </w:r>
          </w:p>
        </w:tc>
      </w:tr>
      <w:tr>
        <w:tblPrEx>
          <w:tblLayout w:type="fixed"/>
          <w:tblCellMar>
            <w:top w:w="0" w:type="dxa"/>
            <w:left w:w="108" w:type="dxa"/>
            <w:bottom w:w="0" w:type="dxa"/>
            <w:right w:w="108" w:type="dxa"/>
          </w:tblCellMar>
        </w:tblPrEx>
        <w:trPr>
          <w:trHeight w:val="924"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935"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325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9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                        联系电话：</w:t>
            </w:r>
          </w:p>
        </w:tc>
      </w:tr>
    </w:tbl>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br w:type="page"/>
      </w:r>
      <w:bookmarkStart w:id="57" w:name="_Toc535048522"/>
      <w:bookmarkStart w:id="58" w:name="_Toc8916"/>
      <w:r>
        <w:rPr>
          <w:rFonts w:hint="eastAsia" w:ascii="仿宋" w:hAnsi="仿宋" w:eastAsia="仿宋" w:cs="仿宋"/>
          <w:b w:val="0"/>
          <w:color w:val="000000" w:themeColor="text1"/>
          <w14:textFill>
            <w14:solidFill>
              <w14:schemeClr w14:val="tx1"/>
            </w14:solidFill>
          </w14:textFill>
        </w:rPr>
        <w:t>密封件封面格式</w:t>
      </w:r>
      <w:bookmarkEnd w:id="57"/>
      <w:bookmarkEnd w:id="58"/>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7"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报价一览表</w:t>
            </w: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jc w:val="center"/>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r>
              <w:rPr>
                <w:rFonts w:hint="eastAsia" w:ascii="仿宋" w:hAnsi="仿宋" w:eastAsia="仿宋" w:cs="仿宋"/>
                <w:color w:val="000000" w:themeColor="text1"/>
                <w:sz w:val="52"/>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正本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副本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资质证明文件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（电子版）</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44"/>
                <w:szCs w:val="52"/>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tc>
      </w:tr>
    </w:tbl>
    <w:p>
      <w:pPr>
        <w:rPr>
          <w:rFonts w:ascii="仿宋" w:hAnsi="仿宋" w:eastAsia="仿宋" w:cs="仿宋"/>
          <w:vanish/>
          <w:color w:val="000000" w:themeColor="text1"/>
          <w14:textFill>
            <w14:solidFill>
              <w14:schemeClr w14:val="tx1"/>
            </w14:solidFill>
          </w14:textFill>
        </w:rPr>
      </w:pPr>
    </w:p>
    <w:tbl>
      <w:tblPr>
        <w:tblStyle w:val="17"/>
        <w:tblpPr w:leftFromText="180" w:rightFromText="180" w:vertAnchor="text" w:horzAnchor="margin" w:tblpY="1069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29</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r>
      <w:rPr>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SDSHZB2019-397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04"/>
    <w:multiLevelType w:val="multilevel"/>
    <w:tmpl w:val="03562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9C13D5"/>
    <w:multiLevelType w:val="multilevel"/>
    <w:tmpl w:val="519C13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10"/>
    <w:rsid w:val="00000824"/>
    <w:rsid w:val="00027C0A"/>
    <w:rsid w:val="00030834"/>
    <w:rsid w:val="00046B4B"/>
    <w:rsid w:val="000549A3"/>
    <w:rsid w:val="000605B2"/>
    <w:rsid w:val="000626BB"/>
    <w:rsid w:val="00064B82"/>
    <w:rsid w:val="0006612F"/>
    <w:rsid w:val="0007304E"/>
    <w:rsid w:val="000A0BCC"/>
    <w:rsid w:val="000A60A1"/>
    <w:rsid w:val="000C11A6"/>
    <w:rsid w:val="000E0245"/>
    <w:rsid w:val="00100B09"/>
    <w:rsid w:val="001014BC"/>
    <w:rsid w:val="00105F8B"/>
    <w:rsid w:val="001130A7"/>
    <w:rsid w:val="00122BBF"/>
    <w:rsid w:val="00133F0A"/>
    <w:rsid w:val="0013579B"/>
    <w:rsid w:val="00153DBC"/>
    <w:rsid w:val="00155644"/>
    <w:rsid w:val="001A3654"/>
    <w:rsid w:val="001D6B35"/>
    <w:rsid w:val="001E1B49"/>
    <w:rsid w:val="001E34E3"/>
    <w:rsid w:val="00202F67"/>
    <w:rsid w:val="002472FC"/>
    <w:rsid w:val="00250D25"/>
    <w:rsid w:val="002535C6"/>
    <w:rsid w:val="002705A1"/>
    <w:rsid w:val="00280579"/>
    <w:rsid w:val="0028178F"/>
    <w:rsid w:val="002A5596"/>
    <w:rsid w:val="002D5351"/>
    <w:rsid w:val="002F2F3B"/>
    <w:rsid w:val="002F6DA6"/>
    <w:rsid w:val="00301276"/>
    <w:rsid w:val="00304A79"/>
    <w:rsid w:val="00307D5E"/>
    <w:rsid w:val="00330223"/>
    <w:rsid w:val="003374C8"/>
    <w:rsid w:val="00344FA4"/>
    <w:rsid w:val="0034672B"/>
    <w:rsid w:val="00347611"/>
    <w:rsid w:val="0035270A"/>
    <w:rsid w:val="00373ABC"/>
    <w:rsid w:val="0037572A"/>
    <w:rsid w:val="00384267"/>
    <w:rsid w:val="003861FB"/>
    <w:rsid w:val="00397C3F"/>
    <w:rsid w:val="003A19F6"/>
    <w:rsid w:val="003B64E8"/>
    <w:rsid w:val="003C4644"/>
    <w:rsid w:val="003D18E7"/>
    <w:rsid w:val="003E6490"/>
    <w:rsid w:val="00404EDF"/>
    <w:rsid w:val="004205F6"/>
    <w:rsid w:val="00420D4A"/>
    <w:rsid w:val="004575D8"/>
    <w:rsid w:val="00464BC1"/>
    <w:rsid w:val="00487063"/>
    <w:rsid w:val="004A13AF"/>
    <w:rsid w:val="004B0C77"/>
    <w:rsid w:val="004B76F1"/>
    <w:rsid w:val="004C0B24"/>
    <w:rsid w:val="004C347E"/>
    <w:rsid w:val="004C3540"/>
    <w:rsid w:val="004C718E"/>
    <w:rsid w:val="004E2107"/>
    <w:rsid w:val="004F6846"/>
    <w:rsid w:val="00504987"/>
    <w:rsid w:val="005137E1"/>
    <w:rsid w:val="00525D9A"/>
    <w:rsid w:val="00532735"/>
    <w:rsid w:val="005372C5"/>
    <w:rsid w:val="00542B88"/>
    <w:rsid w:val="00546E19"/>
    <w:rsid w:val="00573CEF"/>
    <w:rsid w:val="00583736"/>
    <w:rsid w:val="00587877"/>
    <w:rsid w:val="005D4A10"/>
    <w:rsid w:val="005E4CB5"/>
    <w:rsid w:val="005E55E6"/>
    <w:rsid w:val="005E58CE"/>
    <w:rsid w:val="00602C0C"/>
    <w:rsid w:val="00617D1F"/>
    <w:rsid w:val="006327F3"/>
    <w:rsid w:val="00635A56"/>
    <w:rsid w:val="006447D7"/>
    <w:rsid w:val="00655522"/>
    <w:rsid w:val="006A3292"/>
    <w:rsid w:val="006C4219"/>
    <w:rsid w:val="006D0B2C"/>
    <w:rsid w:val="006D140B"/>
    <w:rsid w:val="00701B05"/>
    <w:rsid w:val="0072797A"/>
    <w:rsid w:val="00741856"/>
    <w:rsid w:val="00741DB9"/>
    <w:rsid w:val="00754DF5"/>
    <w:rsid w:val="0075579A"/>
    <w:rsid w:val="00761A28"/>
    <w:rsid w:val="00772AC9"/>
    <w:rsid w:val="00797214"/>
    <w:rsid w:val="007B0D3E"/>
    <w:rsid w:val="007C2A10"/>
    <w:rsid w:val="007D2E8E"/>
    <w:rsid w:val="007E4F96"/>
    <w:rsid w:val="00805B7A"/>
    <w:rsid w:val="008061FC"/>
    <w:rsid w:val="00814569"/>
    <w:rsid w:val="008171C2"/>
    <w:rsid w:val="008345FB"/>
    <w:rsid w:val="00835790"/>
    <w:rsid w:val="00840A88"/>
    <w:rsid w:val="00841AE1"/>
    <w:rsid w:val="00843B5F"/>
    <w:rsid w:val="00863B78"/>
    <w:rsid w:val="00870717"/>
    <w:rsid w:val="00870B9A"/>
    <w:rsid w:val="00881A9F"/>
    <w:rsid w:val="00890B76"/>
    <w:rsid w:val="008B38CE"/>
    <w:rsid w:val="008D2E7E"/>
    <w:rsid w:val="008D63E5"/>
    <w:rsid w:val="008D7ADE"/>
    <w:rsid w:val="008E7C16"/>
    <w:rsid w:val="00914015"/>
    <w:rsid w:val="00933F49"/>
    <w:rsid w:val="00945276"/>
    <w:rsid w:val="00960923"/>
    <w:rsid w:val="00971A84"/>
    <w:rsid w:val="009733F2"/>
    <w:rsid w:val="00974268"/>
    <w:rsid w:val="009760A8"/>
    <w:rsid w:val="00976C1A"/>
    <w:rsid w:val="00992B7A"/>
    <w:rsid w:val="009C7C4D"/>
    <w:rsid w:val="009D426A"/>
    <w:rsid w:val="00A113BD"/>
    <w:rsid w:val="00A12D1F"/>
    <w:rsid w:val="00A323B5"/>
    <w:rsid w:val="00A32A9D"/>
    <w:rsid w:val="00A429EE"/>
    <w:rsid w:val="00A43912"/>
    <w:rsid w:val="00A54EC9"/>
    <w:rsid w:val="00A60E50"/>
    <w:rsid w:val="00A83799"/>
    <w:rsid w:val="00AB51B3"/>
    <w:rsid w:val="00AB6BF8"/>
    <w:rsid w:val="00AE3493"/>
    <w:rsid w:val="00AF32BC"/>
    <w:rsid w:val="00AF3561"/>
    <w:rsid w:val="00AF368C"/>
    <w:rsid w:val="00B1619E"/>
    <w:rsid w:val="00B36DC1"/>
    <w:rsid w:val="00B3717F"/>
    <w:rsid w:val="00B4287F"/>
    <w:rsid w:val="00B4597A"/>
    <w:rsid w:val="00B4673F"/>
    <w:rsid w:val="00B52268"/>
    <w:rsid w:val="00B60D55"/>
    <w:rsid w:val="00B6662F"/>
    <w:rsid w:val="00B75987"/>
    <w:rsid w:val="00B76AAD"/>
    <w:rsid w:val="00B770B2"/>
    <w:rsid w:val="00B8111B"/>
    <w:rsid w:val="00B823DC"/>
    <w:rsid w:val="00B854D5"/>
    <w:rsid w:val="00BA448B"/>
    <w:rsid w:val="00BA5E3E"/>
    <w:rsid w:val="00BD3D43"/>
    <w:rsid w:val="00BF0D09"/>
    <w:rsid w:val="00BF53A6"/>
    <w:rsid w:val="00BF7F92"/>
    <w:rsid w:val="00C31DDD"/>
    <w:rsid w:val="00C41A38"/>
    <w:rsid w:val="00C47530"/>
    <w:rsid w:val="00C62A2C"/>
    <w:rsid w:val="00C649EC"/>
    <w:rsid w:val="00C91473"/>
    <w:rsid w:val="00CA126D"/>
    <w:rsid w:val="00CA461A"/>
    <w:rsid w:val="00CA4CFD"/>
    <w:rsid w:val="00CD187D"/>
    <w:rsid w:val="00CD2E3D"/>
    <w:rsid w:val="00CD5958"/>
    <w:rsid w:val="00CD6BD7"/>
    <w:rsid w:val="00D02DB5"/>
    <w:rsid w:val="00D032B5"/>
    <w:rsid w:val="00D16808"/>
    <w:rsid w:val="00D2166C"/>
    <w:rsid w:val="00D4785D"/>
    <w:rsid w:val="00D61A0B"/>
    <w:rsid w:val="00D67BD6"/>
    <w:rsid w:val="00D91FD0"/>
    <w:rsid w:val="00D94A5C"/>
    <w:rsid w:val="00DA3CF1"/>
    <w:rsid w:val="00DB4A7C"/>
    <w:rsid w:val="00DF6AA3"/>
    <w:rsid w:val="00E077AE"/>
    <w:rsid w:val="00E15E31"/>
    <w:rsid w:val="00E27960"/>
    <w:rsid w:val="00E44B5D"/>
    <w:rsid w:val="00E4582C"/>
    <w:rsid w:val="00E4607D"/>
    <w:rsid w:val="00E55E01"/>
    <w:rsid w:val="00E82F16"/>
    <w:rsid w:val="00EB17A3"/>
    <w:rsid w:val="00EC1061"/>
    <w:rsid w:val="00EC6DFB"/>
    <w:rsid w:val="00EC75C6"/>
    <w:rsid w:val="00ED0FCE"/>
    <w:rsid w:val="00ED5B3A"/>
    <w:rsid w:val="00F32519"/>
    <w:rsid w:val="00F75B25"/>
    <w:rsid w:val="00F80226"/>
    <w:rsid w:val="00F92689"/>
    <w:rsid w:val="00FB6DF1"/>
    <w:rsid w:val="00FE07AE"/>
    <w:rsid w:val="00FE1F93"/>
    <w:rsid w:val="00FE39ED"/>
    <w:rsid w:val="00FE3E7F"/>
    <w:rsid w:val="04263B7E"/>
    <w:rsid w:val="05071359"/>
    <w:rsid w:val="054122D5"/>
    <w:rsid w:val="06BA3D98"/>
    <w:rsid w:val="06E167CC"/>
    <w:rsid w:val="079C3212"/>
    <w:rsid w:val="08997DA0"/>
    <w:rsid w:val="0B1F3259"/>
    <w:rsid w:val="0B9C4768"/>
    <w:rsid w:val="0C9246F8"/>
    <w:rsid w:val="0D4E734E"/>
    <w:rsid w:val="0D5E7C2F"/>
    <w:rsid w:val="0F4C0279"/>
    <w:rsid w:val="1014110D"/>
    <w:rsid w:val="10217EFD"/>
    <w:rsid w:val="108E06C1"/>
    <w:rsid w:val="10DA175C"/>
    <w:rsid w:val="11CA6C6F"/>
    <w:rsid w:val="142A4214"/>
    <w:rsid w:val="146B79CE"/>
    <w:rsid w:val="16CE49D5"/>
    <w:rsid w:val="172A0FDA"/>
    <w:rsid w:val="17654B52"/>
    <w:rsid w:val="179F4E12"/>
    <w:rsid w:val="17CF09B9"/>
    <w:rsid w:val="19061297"/>
    <w:rsid w:val="19C13654"/>
    <w:rsid w:val="1A0F0EFA"/>
    <w:rsid w:val="1A6F21EC"/>
    <w:rsid w:val="1AED3A35"/>
    <w:rsid w:val="1B633F97"/>
    <w:rsid w:val="1B6A1BC5"/>
    <w:rsid w:val="1D7658A8"/>
    <w:rsid w:val="1DBF6037"/>
    <w:rsid w:val="1DD16B48"/>
    <w:rsid w:val="1F0901E1"/>
    <w:rsid w:val="1FD226D2"/>
    <w:rsid w:val="24643B51"/>
    <w:rsid w:val="26FE667A"/>
    <w:rsid w:val="295D4633"/>
    <w:rsid w:val="29BC122C"/>
    <w:rsid w:val="29D771C3"/>
    <w:rsid w:val="2A346453"/>
    <w:rsid w:val="2AB9788D"/>
    <w:rsid w:val="2B0B638D"/>
    <w:rsid w:val="2D51154D"/>
    <w:rsid w:val="2DC408AA"/>
    <w:rsid w:val="2FE94BF0"/>
    <w:rsid w:val="33823AC1"/>
    <w:rsid w:val="33AA367D"/>
    <w:rsid w:val="35957B2F"/>
    <w:rsid w:val="39F742BD"/>
    <w:rsid w:val="3A991C33"/>
    <w:rsid w:val="3B9737E4"/>
    <w:rsid w:val="3BD15179"/>
    <w:rsid w:val="3C6B3CD0"/>
    <w:rsid w:val="3C7476CC"/>
    <w:rsid w:val="3CB17077"/>
    <w:rsid w:val="3D0759DE"/>
    <w:rsid w:val="3EDB6E11"/>
    <w:rsid w:val="3F37753D"/>
    <w:rsid w:val="3F6B0AAE"/>
    <w:rsid w:val="41D30441"/>
    <w:rsid w:val="42316AE6"/>
    <w:rsid w:val="437A6867"/>
    <w:rsid w:val="44311045"/>
    <w:rsid w:val="470A62D2"/>
    <w:rsid w:val="48773E4F"/>
    <w:rsid w:val="48A43987"/>
    <w:rsid w:val="48ED4724"/>
    <w:rsid w:val="4AE507F4"/>
    <w:rsid w:val="4B202007"/>
    <w:rsid w:val="4BE02647"/>
    <w:rsid w:val="4C7864C4"/>
    <w:rsid w:val="4CB50E0F"/>
    <w:rsid w:val="4DA2251F"/>
    <w:rsid w:val="50245AFE"/>
    <w:rsid w:val="50782CE7"/>
    <w:rsid w:val="50AF1410"/>
    <w:rsid w:val="518722C4"/>
    <w:rsid w:val="51B70F33"/>
    <w:rsid w:val="51D75A77"/>
    <w:rsid w:val="51F86959"/>
    <w:rsid w:val="526051DE"/>
    <w:rsid w:val="52954049"/>
    <w:rsid w:val="539E145A"/>
    <w:rsid w:val="54823691"/>
    <w:rsid w:val="56E1132F"/>
    <w:rsid w:val="56FA5AED"/>
    <w:rsid w:val="574D2594"/>
    <w:rsid w:val="5C080433"/>
    <w:rsid w:val="5CB3524B"/>
    <w:rsid w:val="5D1D75A7"/>
    <w:rsid w:val="5D4028E8"/>
    <w:rsid w:val="5E523C8B"/>
    <w:rsid w:val="5E5C6B75"/>
    <w:rsid w:val="5EA10771"/>
    <w:rsid w:val="60377E48"/>
    <w:rsid w:val="60C814C9"/>
    <w:rsid w:val="61980DD1"/>
    <w:rsid w:val="61B07DAC"/>
    <w:rsid w:val="626E32BA"/>
    <w:rsid w:val="645E5565"/>
    <w:rsid w:val="669144BC"/>
    <w:rsid w:val="67973718"/>
    <w:rsid w:val="69946D76"/>
    <w:rsid w:val="6A27783F"/>
    <w:rsid w:val="6BBF022A"/>
    <w:rsid w:val="6C821766"/>
    <w:rsid w:val="6EFB4785"/>
    <w:rsid w:val="6F701559"/>
    <w:rsid w:val="70F052C7"/>
    <w:rsid w:val="7108535E"/>
    <w:rsid w:val="71526F7F"/>
    <w:rsid w:val="74FA20F9"/>
    <w:rsid w:val="76242835"/>
    <w:rsid w:val="76BF29EB"/>
    <w:rsid w:val="781A04BE"/>
    <w:rsid w:val="78AC59D2"/>
    <w:rsid w:val="78CE38C5"/>
    <w:rsid w:val="78FE7282"/>
    <w:rsid w:val="7A410ECE"/>
    <w:rsid w:val="7D3858F8"/>
    <w:rsid w:val="7D6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qFormat/>
    <w:uiPriority w:val="99"/>
    <w:pPr>
      <w:keepNext/>
      <w:keepLines/>
      <w:spacing w:before="340" w:after="330" w:line="480" w:lineRule="auto"/>
      <w:outlineLvl w:val="0"/>
    </w:pPr>
    <w:rPr>
      <w:b/>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outlineLvl w:val="3"/>
    </w:pPr>
    <w:rPr>
      <w:kern w:val="2"/>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27"/>
    <w:qFormat/>
    <w:uiPriority w:val="99"/>
    <w:pPr>
      <w:jc w:val="left"/>
    </w:pPr>
  </w:style>
  <w:style w:type="paragraph" w:styleId="8">
    <w:name w:val="Body Text Indent"/>
    <w:basedOn w:val="1"/>
    <w:qFormat/>
    <w:uiPriority w:val="99"/>
    <w:pPr>
      <w:spacing w:line="480" w:lineRule="exact"/>
      <w:ind w:firstLine="538" w:firstLineChars="192"/>
      <w:jc w:val="left"/>
    </w:pPr>
    <w:rPr>
      <w:rFonts w:ascii="宋体"/>
      <w:kern w:val="2"/>
      <w:szCs w:val="24"/>
    </w:rPr>
  </w:style>
  <w:style w:type="paragraph" w:styleId="9">
    <w:name w:val="Balloon Text"/>
    <w:basedOn w:val="1"/>
    <w:link w:val="26"/>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2">
    <w:name w:val="toc 4"/>
    <w:basedOn w:val="1"/>
    <w:next w:val="1"/>
    <w:semiHidden/>
    <w:unhideWhenUsed/>
    <w:qFormat/>
    <w:uiPriority w:val="0"/>
    <w:pPr>
      <w:ind w:left="1260" w:leftChars="600"/>
    </w:pPr>
  </w:style>
  <w:style w:type="paragraph" w:styleId="13">
    <w:name w:val="toc 2"/>
    <w:basedOn w:val="1"/>
    <w:next w:val="1"/>
    <w:qFormat/>
    <w:uiPriority w:val="39"/>
    <w:pPr>
      <w:ind w:left="420"/>
    </w:pPr>
    <w:rPr>
      <w:rFonts w:ascii="宋体" w:hAnsi="宋体"/>
      <w:bCs/>
      <w:szCs w:val="24"/>
    </w:rPr>
  </w:style>
  <w:style w:type="paragraph" w:styleId="14">
    <w:name w:val="Normal (Web)"/>
    <w:basedOn w:val="1"/>
    <w:semiHidden/>
    <w:unhideWhenUsed/>
    <w:qFormat/>
    <w:uiPriority w:val="0"/>
    <w:rPr>
      <w:sz w:val="24"/>
    </w:rPr>
  </w:style>
  <w:style w:type="paragraph" w:styleId="15">
    <w:name w:val="Title"/>
    <w:basedOn w:val="1"/>
    <w:next w:val="1"/>
    <w:link w:val="35"/>
    <w:qFormat/>
    <w:uiPriority w:val="0"/>
    <w:pPr>
      <w:spacing w:before="240" w:after="60"/>
      <w:jc w:val="center"/>
      <w:outlineLvl w:val="0"/>
    </w:pPr>
    <w:rPr>
      <w:rFonts w:ascii="Cambria" w:hAnsi="Cambria"/>
      <w:b/>
      <w:bCs/>
      <w:kern w:val="2"/>
      <w:sz w:val="32"/>
      <w:szCs w:val="32"/>
    </w:rPr>
  </w:style>
  <w:style w:type="paragraph" w:styleId="16">
    <w:name w:val="annotation subject"/>
    <w:basedOn w:val="7"/>
    <w:next w:val="7"/>
    <w:link w:val="28"/>
    <w:qFormat/>
    <w:uiPriority w:val="99"/>
    <w:rPr>
      <w:b/>
      <w:bCs/>
    </w:rPr>
  </w:style>
  <w:style w:type="table" w:styleId="18">
    <w:name w:val="Table Grid"/>
    <w:basedOn w:val="1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qFormat/>
    <w:uiPriority w:val="99"/>
    <w:rPr>
      <w:color w:val="000000"/>
    </w:rPr>
  </w:style>
  <w:style w:type="character" w:styleId="21">
    <w:name w:val="annotation reference"/>
    <w:qFormat/>
    <w:uiPriority w:val="99"/>
    <w:rPr>
      <w:sz w:val="21"/>
      <w:szCs w:val="21"/>
    </w:rPr>
  </w:style>
  <w:style w:type="paragraph" w:customStyle="1" w:styleId="22">
    <w:name w:val="纯文本1"/>
    <w:basedOn w:val="1"/>
    <w:qFormat/>
    <w:uiPriority w:val="0"/>
    <w:rPr>
      <w:rFonts w:ascii="宋体" w:hAnsi="宋体" w:cs="Courier New"/>
      <w:sz w:val="21"/>
    </w:rPr>
  </w:style>
  <w:style w:type="paragraph" w:customStyle="1" w:styleId="23">
    <w:name w:val="列出段落1"/>
    <w:basedOn w:val="1"/>
    <w:link w:val="30"/>
    <w:qFormat/>
    <w:uiPriority w:val="34"/>
    <w:pPr>
      <w:ind w:firstLine="200"/>
    </w:pPr>
    <w:rPr>
      <w:rFonts w:ascii="Calibri" w:hAnsi="Calibri"/>
      <w:sz w:val="21"/>
      <w:szCs w:val="22"/>
    </w:rPr>
  </w:style>
  <w:style w:type="paragraph" w:customStyle="1" w:styleId="24">
    <w:name w:val="列出段落2"/>
    <w:basedOn w:val="1"/>
    <w:unhideWhenUsed/>
    <w:qFormat/>
    <w:uiPriority w:val="99"/>
    <w:pPr>
      <w:ind w:firstLine="420" w:firstLineChars="200"/>
    </w:pPr>
  </w:style>
  <w:style w:type="paragraph" w:customStyle="1" w:styleId="2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6">
    <w:name w:val="批注框文本 Char"/>
    <w:link w:val="9"/>
    <w:qFormat/>
    <w:uiPriority w:val="0"/>
    <w:rPr>
      <w:kern w:val="1"/>
      <w:sz w:val="18"/>
      <w:szCs w:val="18"/>
    </w:rPr>
  </w:style>
  <w:style w:type="character" w:customStyle="1" w:styleId="27">
    <w:name w:val="批注文字 Char"/>
    <w:link w:val="7"/>
    <w:qFormat/>
    <w:uiPriority w:val="99"/>
    <w:rPr>
      <w:kern w:val="1"/>
      <w:sz w:val="28"/>
    </w:rPr>
  </w:style>
  <w:style w:type="character" w:customStyle="1" w:styleId="28">
    <w:name w:val="批注主题 Char"/>
    <w:link w:val="16"/>
    <w:qFormat/>
    <w:uiPriority w:val="99"/>
    <w:rPr>
      <w:b/>
      <w:bCs/>
      <w:kern w:val="1"/>
      <w:sz w:val="28"/>
    </w:rPr>
  </w:style>
  <w:style w:type="character" w:customStyle="1" w:styleId="29">
    <w:name w:val="WW8Num3z8"/>
    <w:qFormat/>
    <w:uiPriority w:val="3"/>
  </w:style>
  <w:style w:type="character" w:customStyle="1" w:styleId="30">
    <w:name w:val="列出段落 Char"/>
    <w:link w:val="23"/>
    <w:qFormat/>
    <w:uiPriority w:val="99"/>
    <w:rPr>
      <w:rFonts w:ascii="Calibri" w:hAnsi="Calibri"/>
      <w:kern w:val="1"/>
      <w:sz w:val="21"/>
      <w:szCs w:val="22"/>
    </w:rPr>
  </w:style>
  <w:style w:type="character" w:customStyle="1" w:styleId="31">
    <w:name w:val="页眉 Char"/>
    <w:link w:val="11"/>
    <w:qFormat/>
    <w:uiPriority w:val="99"/>
    <w:rPr>
      <w:kern w:val="1"/>
      <w:sz w:val="18"/>
      <w:szCs w:val="18"/>
    </w:rPr>
  </w:style>
  <w:style w:type="character" w:customStyle="1" w:styleId="32">
    <w:name w:val="页脚 Char"/>
    <w:link w:val="10"/>
    <w:qFormat/>
    <w:uiPriority w:val="99"/>
    <w:rPr>
      <w:kern w:val="1"/>
      <w:sz w:val="18"/>
      <w:szCs w:val="18"/>
    </w:rPr>
  </w:style>
  <w:style w:type="character" w:customStyle="1" w:styleId="33">
    <w:name w:val="标题 3 Char"/>
    <w:link w:val="5"/>
    <w:semiHidden/>
    <w:qFormat/>
    <w:uiPriority w:val="0"/>
    <w:rPr>
      <w:b/>
      <w:bCs/>
      <w:kern w:val="1"/>
      <w:sz w:val="32"/>
      <w:szCs w:val="32"/>
    </w:rPr>
  </w:style>
  <w:style w:type="character" w:customStyle="1" w:styleId="34">
    <w:name w:val="标题 4 Char"/>
    <w:link w:val="6"/>
    <w:qFormat/>
    <w:uiPriority w:val="0"/>
    <w:rPr>
      <w:kern w:val="2"/>
      <w:sz w:val="28"/>
    </w:rPr>
  </w:style>
  <w:style w:type="character" w:customStyle="1" w:styleId="35">
    <w:name w:val="标题 Char"/>
    <w:link w:val="15"/>
    <w:qFormat/>
    <w:uiPriority w:val="0"/>
    <w:rPr>
      <w:rFonts w:ascii="Cambria" w:hAnsi="Cambria"/>
      <w:b/>
      <w:bCs/>
      <w:kern w:val="2"/>
      <w:sz w:val="32"/>
      <w:szCs w:val="32"/>
    </w:rPr>
  </w:style>
  <w:style w:type="character" w:customStyle="1" w:styleId="36">
    <w:name w:val="楷体 (中文) 楷体"/>
    <w:qFormat/>
    <w:uiPriority w:val="0"/>
    <w:rPr>
      <w:rFonts w:ascii="楷体" w:hAnsi="楷体" w:eastAsia="楷体"/>
      <w:kern w:val="1"/>
      <w:sz w:val="28"/>
    </w:rPr>
  </w:style>
  <w:style w:type="paragraph" w:customStyle="1" w:styleId="37">
    <w:name w:val="修订1"/>
    <w:hidden/>
    <w:semiHidden/>
    <w:qFormat/>
    <w:uiPriority w:val="99"/>
    <w:rPr>
      <w:rFonts w:ascii="Times New Roman" w:hAnsi="Times New Roman" w:eastAsia="宋体" w:cs="Times New Roman"/>
      <w:kern w:val="1"/>
      <w:sz w:val="28"/>
      <w:lang w:val="en-US" w:eastAsia="zh-CN" w:bidi="ar-SA"/>
    </w:rPr>
  </w:style>
  <w:style w:type="paragraph" w:customStyle="1" w:styleId="3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39">
    <w:name w:val="样式 仿宋"/>
    <w:qFormat/>
    <w:uiPriority w:val="0"/>
    <w:rPr>
      <w:rFonts w:ascii="仿宋" w:hAnsi="仿宋" w:eastAsia="仿宋"/>
      <w:kern w:val="1"/>
    </w:rPr>
  </w:style>
  <w:style w:type="paragraph" w:customStyle="1" w:styleId="40">
    <w:name w:val="列出段落11"/>
    <w:basedOn w:val="1"/>
    <w:qFormat/>
    <w:uiPriority w:val="34"/>
    <w:pPr>
      <w:ind w:firstLine="420" w:firstLineChars="200"/>
    </w:pPr>
    <w:rPr>
      <w:rFonts w:ascii="Calibri" w:hAnsi="Calibri"/>
    </w:rPr>
  </w:style>
  <w:style w:type="character" w:customStyle="1" w:styleId="41">
    <w:name w:val="font31"/>
    <w:basedOn w:val="19"/>
    <w:qFormat/>
    <w:uiPriority w:val="0"/>
    <w:rPr>
      <w:rFonts w:hint="eastAsia" w:ascii="宋体" w:hAnsi="宋体" w:eastAsia="宋体" w:cs="宋体"/>
      <w:color w:val="000000"/>
      <w:sz w:val="20"/>
      <w:szCs w:val="20"/>
      <w:u w:val="none"/>
      <w:vertAlign w:val="superscript"/>
    </w:rPr>
  </w:style>
  <w:style w:type="paragraph" w:styleId="42">
    <w:name w:val="List Paragraph"/>
    <w:basedOn w:val="1"/>
    <w:qFormat/>
    <w:uiPriority w:val="34"/>
    <w:pPr>
      <w:ind w:firstLine="420" w:firstLineChars="200"/>
    </w:p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D0EFD-1C33-4B5D-A173-70FD80501DF5}">
  <ds:schemaRefs/>
</ds:datastoreItem>
</file>

<file path=docProps/app.xml><?xml version="1.0" encoding="utf-8"?>
<Properties xmlns="http://schemas.openxmlformats.org/officeDocument/2006/extended-properties" xmlns:vt="http://schemas.openxmlformats.org/officeDocument/2006/docPropsVTypes">
  <Template>Normal</Template>
  <Pages>46</Pages>
  <Words>3836</Words>
  <Characters>21871</Characters>
  <Lines>182</Lines>
  <Paragraphs>51</Paragraphs>
  <TotalTime>59</TotalTime>
  <ScaleCrop>false</ScaleCrop>
  <LinksUpToDate>false</LinksUpToDate>
  <CharactersWithSpaces>25656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2019-04-28T06:55:00Z</dcterms:created>
  <dc:creator>Administrator</dc:creator>
  <cp:lastModifiedBy>MSQ</cp:lastModifiedBy>
  <dcterms:modified xsi:type="dcterms:W3CDTF">2019-06-29T04:00:04Z</dcterms:modified>
  <dc:title>山东科技大学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