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jc w:val="center"/>
        <w:rPr>
          <w:rFonts w:ascii="仿宋" w:hAnsi="仿宋" w:eastAsia="仿宋" w:cs="仿宋"/>
          <w:bCs/>
          <w:color w:val="000000" w:themeColor="text1"/>
          <w:sz w:val="44"/>
          <w:szCs w:val="44"/>
          <w14:textFill>
            <w14:solidFill>
              <w14:schemeClr w14:val="tx1"/>
            </w14:solidFill>
          </w14:textFill>
        </w:rPr>
      </w:pPr>
    </w:p>
    <w:p>
      <w:pPr>
        <w:pStyle w:val="22"/>
        <w:spacing w:line="360" w:lineRule="auto"/>
        <w:jc w:val="center"/>
        <w:rPr>
          <w:rFonts w:ascii="仿宋" w:hAnsi="仿宋" w:eastAsia="仿宋" w:cs="仿宋"/>
          <w:b/>
          <w:bCs/>
          <w:color w:val="000000" w:themeColor="text1"/>
          <w:sz w:val="52"/>
          <w:szCs w:val="44"/>
          <w14:textFill>
            <w14:solidFill>
              <w14:schemeClr w14:val="tx1"/>
            </w14:solidFill>
          </w14:textFill>
        </w:rPr>
      </w:pPr>
      <w:r>
        <w:rPr>
          <w:rFonts w:hint="eastAsia" w:ascii="仿宋" w:hAnsi="仿宋" w:eastAsia="仿宋" w:cs="仿宋"/>
          <w:b/>
          <w:bCs/>
          <w:color w:val="000000" w:themeColor="text1"/>
          <w:sz w:val="52"/>
          <w:szCs w:val="44"/>
          <w14:textFill>
            <w14:solidFill>
              <w14:schemeClr w14:val="tx1"/>
            </w14:solidFill>
          </w14:textFill>
        </w:rPr>
        <w:t>山东科技大学科技园自行车车棚制作安装竞争性磋商</w:t>
      </w:r>
    </w:p>
    <w:p>
      <w:pPr>
        <w:pStyle w:val="22"/>
        <w:spacing w:line="360" w:lineRule="auto"/>
        <w:jc w:val="center"/>
        <w:rPr>
          <w:rFonts w:ascii="仿宋" w:hAnsi="仿宋" w:eastAsia="仿宋" w:cs="仿宋"/>
          <w:bCs/>
          <w:color w:val="000000" w:themeColor="text1"/>
          <w:sz w:val="44"/>
          <w:szCs w:val="44"/>
          <w14:textFill>
            <w14:solidFill>
              <w14:schemeClr w14:val="tx1"/>
            </w14:solidFill>
          </w14:textFill>
        </w:rPr>
      </w:pPr>
    </w:p>
    <w:p>
      <w:pPr>
        <w:overflowPunct w:val="0"/>
        <w:autoSpaceDE w:val="0"/>
        <w:spacing w:line="360" w:lineRule="auto"/>
        <w:ind w:right="-794" w:firstLine="602" w:firstLineChars="150"/>
        <w:rPr>
          <w:rFonts w:ascii="仿宋" w:hAnsi="仿宋" w:eastAsia="仿宋" w:cs="仿宋"/>
          <w:b/>
          <w:bCs/>
          <w:color w:val="000000" w:themeColor="text1"/>
          <w:sz w:val="40"/>
          <w:szCs w:val="44"/>
          <w:highlight w:val="yellow"/>
          <w:u w:val="single"/>
          <w14:textFill>
            <w14:solidFill>
              <w14:schemeClr w14:val="tx1"/>
            </w14:solidFill>
          </w14:textFill>
        </w:rPr>
      </w:pPr>
      <w:r>
        <w:rPr>
          <w:rFonts w:hint="eastAsia" w:ascii="仿宋" w:hAnsi="仿宋" w:eastAsia="仿宋" w:cs="仿宋"/>
          <w:b/>
          <w:bCs/>
          <w:color w:val="000000" w:themeColor="text1"/>
          <w:sz w:val="40"/>
          <w:szCs w:val="44"/>
          <w14:textFill>
            <w14:solidFill>
              <w14:schemeClr w14:val="tx1"/>
            </w14:solidFill>
          </w14:textFill>
        </w:rPr>
        <w:t>项目编号：</w:t>
      </w:r>
      <w:r>
        <w:rPr>
          <w:rFonts w:hint="eastAsia" w:ascii="仿宋" w:hAnsi="仿宋" w:eastAsia="仿宋" w:cs="仿宋"/>
          <w:b/>
          <w:bCs/>
          <w:color w:val="000000" w:themeColor="text1"/>
          <w:sz w:val="40"/>
          <w:szCs w:val="44"/>
          <w:u w:val="single"/>
          <w14:textFill>
            <w14:solidFill>
              <w14:schemeClr w14:val="tx1"/>
            </w14:solidFill>
          </w14:textFill>
        </w:rPr>
        <w:t>SDSHZB2019-398</w:t>
      </w:r>
    </w:p>
    <w:p>
      <w:pPr>
        <w:snapToGrid w:val="0"/>
        <w:spacing w:line="360" w:lineRule="auto"/>
        <w:rPr>
          <w:rFonts w:ascii="仿宋" w:hAnsi="仿宋" w:eastAsia="仿宋" w:cs="仿宋"/>
          <w:bCs/>
          <w:color w:val="000000" w:themeColor="text1"/>
          <w:sz w:val="24"/>
          <w:szCs w:val="24"/>
          <w:u w:val="single"/>
          <w14:textFill>
            <w14:solidFill>
              <w14:schemeClr w14:val="tx1"/>
            </w14:solidFill>
          </w14:textFill>
        </w:rPr>
      </w:pPr>
    </w:p>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drawing>
          <wp:anchor distT="0" distB="0" distL="0" distR="0" simplePos="0" relativeHeight="251658240" behindDoc="0" locked="0" layoutInCell="1" allowOverlap="1">
            <wp:simplePos x="0" y="0"/>
            <wp:positionH relativeFrom="column">
              <wp:align>center</wp:align>
            </wp:positionH>
            <wp:positionV relativeFrom="paragraph">
              <wp:posOffset>87630</wp:posOffset>
            </wp:positionV>
            <wp:extent cx="2190115" cy="2190115"/>
            <wp:effectExtent l="0" t="0" r="635" b="635"/>
            <wp:wrapSquare wrapText="larges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90115" cy="2190115"/>
                    </a:xfrm>
                    <a:prstGeom prst="rect">
                      <a:avLst/>
                    </a:prstGeom>
                    <a:solidFill>
                      <a:srgbClr val="FFFFFF"/>
                    </a:solidFill>
                  </pic:spPr>
                </pic:pic>
              </a:graphicData>
            </a:graphic>
          </wp:anchor>
        </w:drawing>
      </w: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ind w:firstLine="1205"/>
        <w:jc w:val="left"/>
        <w:rPr>
          <w:rFonts w:ascii="仿宋" w:hAnsi="仿宋" w:eastAsia="仿宋" w:cs="仿宋"/>
          <w:bCs/>
          <w:color w:val="000000" w:themeColor="text1"/>
          <w:sz w:val="30"/>
          <w:szCs w:val="30"/>
          <w14:textFill>
            <w14:solidFill>
              <w14:schemeClr w14:val="tx1"/>
            </w14:solidFill>
          </w14:textFill>
        </w:rPr>
      </w:pPr>
    </w:p>
    <w:p>
      <w:pPr>
        <w:snapToGrid w:val="0"/>
        <w:spacing w:line="360" w:lineRule="auto"/>
        <w:ind w:firstLine="1205"/>
        <w:jc w:val="left"/>
        <w:rPr>
          <w:rFonts w:ascii="仿宋" w:hAnsi="仿宋" w:eastAsia="仿宋" w:cs="仿宋"/>
          <w:bCs/>
          <w:color w:val="000000" w:themeColor="text1"/>
          <w:sz w:val="30"/>
          <w:szCs w:val="30"/>
          <w14:textFill>
            <w14:solidFill>
              <w14:schemeClr w14:val="tx1"/>
            </w14:solidFill>
          </w14:textFill>
        </w:rPr>
      </w:pPr>
    </w:p>
    <w:p>
      <w:pPr>
        <w:snapToGrid w:val="0"/>
        <w:spacing w:line="360" w:lineRule="auto"/>
        <w:ind w:firstLine="1205"/>
        <w:jc w:val="left"/>
        <w:rPr>
          <w:rFonts w:ascii="仿宋" w:hAnsi="仿宋" w:eastAsia="仿宋" w:cs="仿宋"/>
          <w:bCs/>
          <w:color w:val="000000" w:themeColor="text1"/>
          <w:sz w:val="30"/>
          <w:szCs w:val="30"/>
          <w14:textFill>
            <w14:solidFill>
              <w14:schemeClr w14:val="tx1"/>
            </w14:solidFill>
          </w14:textFill>
        </w:rPr>
      </w:pPr>
    </w:p>
    <w:p>
      <w:pPr>
        <w:snapToGrid w:val="0"/>
        <w:spacing w:line="360" w:lineRule="auto"/>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采购单位： 山东科技大学</w:t>
      </w:r>
    </w:p>
    <w:p>
      <w:pPr>
        <w:snapToGrid w:val="0"/>
        <w:spacing w:line="360" w:lineRule="auto"/>
        <w:jc w:val="center"/>
        <w:rPr>
          <w:rFonts w:ascii="仿宋" w:hAnsi="仿宋" w:eastAsia="仿宋" w:cs="仿宋"/>
          <w:b/>
          <w:bCs/>
          <w:color w:val="000000" w:themeColor="text1"/>
          <w:sz w:val="30"/>
          <w:szCs w:val="30"/>
          <w14:textFill>
            <w14:solidFill>
              <w14:schemeClr w14:val="tx1"/>
            </w14:solidFill>
          </w14:textFill>
        </w:rPr>
      </w:pPr>
    </w:p>
    <w:p>
      <w:pPr>
        <w:snapToGrid w:val="0"/>
        <w:spacing w:line="360" w:lineRule="auto"/>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采购代理：山东盛和招标代理有限公司</w:t>
      </w:r>
    </w:p>
    <w:p>
      <w:pPr>
        <w:snapToGrid w:val="0"/>
        <w:spacing w:line="360" w:lineRule="auto"/>
        <w:ind w:firstLine="964"/>
        <w:jc w:val="center"/>
        <w:rPr>
          <w:rFonts w:ascii="仿宋" w:hAnsi="仿宋" w:eastAsia="仿宋" w:cs="仿宋"/>
          <w:b/>
          <w:bCs/>
          <w:color w:val="000000" w:themeColor="text1"/>
          <w:sz w:val="24"/>
          <w:szCs w:val="24"/>
          <w14:textFill>
            <w14:solidFill>
              <w14:schemeClr w14:val="tx1"/>
            </w14:solidFill>
          </w14:textFill>
        </w:rPr>
      </w:pPr>
    </w:p>
    <w:p>
      <w:pPr>
        <w:snapToGrid w:val="0"/>
        <w:spacing w:line="360" w:lineRule="auto"/>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二零一九年六月</w:t>
      </w:r>
    </w:p>
    <w:p>
      <w:pPr>
        <w:snapToGrid w:val="0"/>
        <w:spacing w:line="360" w:lineRule="auto"/>
        <w:jc w:val="center"/>
        <w:rPr>
          <w:rFonts w:ascii="仿宋" w:hAnsi="仿宋" w:eastAsia="仿宋" w:cs="仿宋"/>
          <w:bCs/>
          <w:color w:val="000000" w:themeColor="text1"/>
          <w:sz w:val="24"/>
          <w:szCs w:val="24"/>
          <w14:textFill>
            <w14:solidFill>
              <w14:schemeClr w14:val="tx1"/>
            </w14:solidFill>
          </w14:textFill>
        </w:rPr>
      </w:pPr>
    </w:p>
    <w:p>
      <w:pPr>
        <w:snapToGrid w:val="0"/>
        <w:spacing w:line="360" w:lineRule="auto"/>
        <w:jc w:val="center"/>
        <w:rPr>
          <w:rFonts w:ascii="仿宋" w:hAnsi="仿宋" w:eastAsia="仿宋" w:cs="仿宋"/>
          <w:bCs/>
          <w:color w:val="000000" w:themeColor="text1"/>
          <w:sz w:val="24"/>
          <w:szCs w:val="24"/>
          <w14:textFill>
            <w14:solidFill>
              <w14:schemeClr w14:val="tx1"/>
            </w14:solidFill>
          </w14:textFill>
        </w:rPr>
      </w:pPr>
    </w:p>
    <w:p>
      <w:pPr>
        <w:widowControl/>
        <w:suppressAutoHyphens w:val="0"/>
        <w:jc w:val="left"/>
        <w:rPr>
          <w:rFonts w:ascii="仿宋" w:hAnsi="仿宋" w:eastAsia="仿宋" w:cs="仿宋"/>
          <w:color w:val="000000" w:themeColor="text1"/>
          <w:sz w:val="36"/>
          <w:szCs w:val="36"/>
          <w14:textFill>
            <w14:solidFill>
              <w14:schemeClr w14:val="tx1"/>
            </w14:solidFill>
          </w14:textFill>
        </w:rPr>
      </w:pPr>
      <w:r>
        <w:rPr>
          <w:rFonts w:ascii="仿宋" w:hAnsi="仿宋" w:eastAsia="仿宋" w:cs="仿宋"/>
          <w:color w:val="000000" w:themeColor="text1"/>
          <w:sz w:val="36"/>
          <w:szCs w:val="36"/>
          <w14:textFill>
            <w14:solidFill>
              <w14:schemeClr w14:val="tx1"/>
            </w14:solidFill>
          </w14:textFill>
        </w:rPr>
        <w:br w:type="page"/>
      </w:r>
    </w:p>
    <w:p>
      <w:pPr>
        <w:overflowPunct w:val="0"/>
        <w:autoSpaceDE w:val="0"/>
        <w:spacing w:line="360" w:lineRule="auto"/>
        <w:ind w:right="-794"/>
        <w:jc w:val="cente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目 录</w:t>
      </w:r>
    </w:p>
    <w:p>
      <w:pPr>
        <w:pStyle w:val="13"/>
        <w:tabs>
          <w:tab w:val="right" w:leader="dot" w:pos="8867"/>
        </w:tabs>
        <w:ind w:left="0"/>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TOC \o "1-3" \h \z \u </w:instrText>
      </w:r>
      <w:r>
        <w:rPr>
          <w:rFonts w:hint="eastAsia" w:ascii="仿宋" w:hAnsi="仿宋" w:eastAsia="仿宋" w:cs="仿宋"/>
          <w:color w:val="000000" w:themeColor="text1"/>
          <w:sz w:val="24"/>
          <w14:textFill>
            <w14:solidFill>
              <w14:schemeClr w14:val="tx1"/>
            </w14:solidFill>
          </w14:textFill>
        </w:rPr>
        <w:fldChar w:fldCharType="separate"/>
      </w:r>
      <w:r>
        <w:fldChar w:fldCharType="begin"/>
      </w:r>
      <w:r>
        <w:instrText xml:space="preserve"> HYPERLINK \l "_Toc19425" </w:instrText>
      </w:r>
      <w:r>
        <w:fldChar w:fldCharType="separate"/>
      </w:r>
      <w:r>
        <w:rPr>
          <w:rFonts w:hint="eastAsia" w:ascii="仿宋" w:hAnsi="仿宋" w:eastAsia="仿宋" w:cs="仿宋"/>
          <w:sz w:val="24"/>
        </w:rPr>
        <w:t>一、响应须知前附件表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_Toc19425 </w:instrText>
      </w:r>
      <w:r>
        <w:rPr>
          <w:rFonts w:hint="eastAsia" w:ascii="仿宋" w:hAnsi="仿宋" w:eastAsia="仿宋" w:cs="仿宋"/>
          <w:sz w:val="24"/>
        </w:rPr>
        <w:fldChar w:fldCharType="separate"/>
      </w:r>
      <w:r>
        <w:rPr>
          <w:rFonts w:hint="eastAsia" w:ascii="仿宋" w:hAnsi="仿宋" w:eastAsia="仿宋" w:cs="仿宋"/>
          <w:sz w:val="24"/>
        </w:rPr>
        <w:t>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"_Toc22239" </w:instrText>
      </w:r>
      <w:r>
        <w:fldChar w:fldCharType="separate"/>
      </w:r>
      <w:r>
        <w:rPr>
          <w:rFonts w:hint="eastAsia" w:ascii="仿宋" w:hAnsi="仿宋" w:eastAsia="仿宋" w:cs="仿宋"/>
          <w:sz w:val="24"/>
          <w:szCs w:val="24"/>
        </w:rPr>
        <w:t>二、响应须知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_Toc22239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"_Toc19298" </w:instrText>
      </w:r>
      <w:r>
        <w:fldChar w:fldCharType="separate"/>
      </w:r>
      <w:r>
        <w:rPr>
          <w:rFonts w:hint="eastAsia" w:ascii="仿宋" w:hAnsi="仿宋" w:eastAsia="仿宋" w:cs="仿宋"/>
          <w:sz w:val="24"/>
        </w:rPr>
        <w:t>（一）总  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_Toc19298 </w:instrText>
      </w:r>
      <w:r>
        <w:rPr>
          <w:rFonts w:hint="eastAsia" w:ascii="仿宋" w:hAnsi="仿宋" w:eastAsia="仿宋" w:cs="仿宋"/>
          <w:sz w:val="24"/>
        </w:rPr>
        <w:fldChar w:fldCharType="separate"/>
      </w:r>
      <w:r>
        <w:rPr>
          <w:rFonts w:hint="eastAsia" w:ascii="仿宋" w:hAnsi="仿宋" w:eastAsia="仿宋" w:cs="仿宋"/>
          <w:sz w:val="24"/>
        </w:rPr>
        <w:t>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"_Toc5524" </w:instrText>
      </w:r>
      <w:r>
        <w:fldChar w:fldCharType="separate"/>
      </w:r>
      <w:r>
        <w:rPr>
          <w:rFonts w:hint="eastAsia" w:ascii="仿宋" w:hAnsi="仿宋" w:eastAsia="仿宋" w:cs="仿宋"/>
          <w:sz w:val="24"/>
        </w:rPr>
        <w:t>（二）磋商文件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_Toc5524 </w:instrText>
      </w:r>
      <w:r>
        <w:rPr>
          <w:rFonts w:hint="eastAsia" w:ascii="仿宋" w:hAnsi="仿宋" w:eastAsia="仿宋" w:cs="仿宋"/>
          <w:sz w:val="24"/>
        </w:rPr>
        <w:fldChar w:fldCharType="separate"/>
      </w:r>
      <w:r>
        <w:rPr>
          <w:rFonts w:hint="eastAsia"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"_Toc18237" </w:instrText>
      </w:r>
      <w:r>
        <w:fldChar w:fldCharType="separate"/>
      </w:r>
      <w:r>
        <w:rPr>
          <w:rFonts w:hint="eastAsia" w:ascii="仿宋" w:hAnsi="仿宋" w:eastAsia="仿宋" w:cs="仿宋"/>
          <w:sz w:val="24"/>
        </w:rPr>
        <w:t>（三） 响应文件的编制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_Toc18237 </w:instrText>
      </w:r>
      <w:r>
        <w:rPr>
          <w:rFonts w:hint="eastAsia" w:ascii="仿宋" w:hAnsi="仿宋" w:eastAsia="仿宋" w:cs="仿宋"/>
          <w:sz w:val="24"/>
        </w:rPr>
        <w:fldChar w:fldCharType="separate"/>
      </w:r>
      <w:r>
        <w:rPr>
          <w:rFonts w:hint="eastAsia" w:ascii="仿宋" w:hAnsi="仿宋" w:eastAsia="仿宋" w:cs="仿宋"/>
          <w:sz w:val="24"/>
        </w:rPr>
        <w:t>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"_Toc11061" </w:instrText>
      </w:r>
      <w:r>
        <w:fldChar w:fldCharType="separate"/>
      </w:r>
      <w:r>
        <w:rPr>
          <w:rFonts w:hint="eastAsia" w:ascii="仿宋" w:hAnsi="仿宋" w:eastAsia="仿宋" w:cs="仿宋"/>
          <w:sz w:val="24"/>
        </w:rPr>
        <w:t>（四）响应文件的提交</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_Toc11061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"_Toc22369" </w:instrText>
      </w:r>
      <w:r>
        <w:fldChar w:fldCharType="separate"/>
      </w:r>
      <w:r>
        <w:rPr>
          <w:rFonts w:hint="eastAsia" w:ascii="仿宋" w:hAnsi="仿宋" w:eastAsia="仿宋" w:cs="仿宋"/>
          <w:sz w:val="24"/>
        </w:rPr>
        <w:t>（五）开标会</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_Toc22369 </w:instrText>
      </w:r>
      <w:r>
        <w:rPr>
          <w:rFonts w:hint="eastAsia" w:ascii="仿宋" w:hAnsi="仿宋" w:eastAsia="仿宋" w:cs="仿宋"/>
          <w:sz w:val="24"/>
        </w:rPr>
        <w:fldChar w:fldCharType="separate"/>
      </w:r>
      <w:r>
        <w:rPr>
          <w:rFonts w:hint="eastAsia" w:ascii="仿宋" w:hAnsi="仿宋" w:eastAsia="仿宋" w:cs="仿宋"/>
          <w:sz w:val="24"/>
        </w:rPr>
        <w:t>15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"_Toc16849" </w:instrText>
      </w:r>
      <w:r>
        <w:fldChar w:fldCharType="separate"/>
      </w:r>
      <w:r>
        <w:rPr>
          <w:rFonts w:hint="eastAsia" w:ascii="仿宋" w:hAnsi="仿宋" w:eastAsia="仿宋" w:cs="仿宋"/>
          <w:sz w:val="24"/>
        </w:rPr>
        <w:t>（六）评审</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_Toc16849 </w:instrText>
      </w:r>
      <w:r>
        <w:rPr>
          <w:rFonts w:hint="eastAsia" w:ascii="仿宋" w:hAnsi="仿宋" w:eastAsia="仿宋" w:cs="仿宋"/>
          <w:sz w:val="24"/>
        </w:rPr>
        <w:fldChar w:fldCharType="separate"/>
      </w:r>
      <w:r>
        <w:rPr>
          <w:rFonts w:hint="eastAsia" w:ascii="仿宋" w:hAnsi="仿宋" w:eastAsia="仿宋" w:cs="仿宋"/>
          <w:sz w:val="24"/>
        </w:rPr>
        <w:t>17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"_Toc4118" </w:instrText>
      </w:r>
      <w:r>
        <w:fldChar w:fldCharType="separate"/>
      </w:r>
      <w:r>
        <w:rPr>
          <w:rFonts w:hint="eastAsia" w:ascii="仿宋" w:hAnsi="仿宋" w:eastAsia="仿宋" w:cs="仿宋"/>
          <w:sz w:val="24"/>
        </w:rPr>
        <w:t>（七）定标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_Toc4118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"_Toc11577" </w:instrText>
      </w:r>
      <w:r>
        <w:fldChar w:fldCharType="separate"/>
      </w:r>
      <w:r>
        <w:rPr>
          <w:rFonts w:hint="eastAsia" w:ascii="仿宋" w:hAnsi="仿宋" w:eastAsia="仿宋" w:cs="仿宋"/>
          <w:sz w:val="24"/>
        </w:rPr>
        <w:t>（八）合同的授予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_Toc11577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"_Toc27626" </w:instrText>
      </w:r>
      <w:r>
        <w:fldChar w:fldCharType="separate"/>
      </w:r>
      <w:r>
        <w:rPr>
          <w:rFonts w:hint="eastAsia" w:ascii="仿宋" w:hAnsi="仿宋" w:eastAsia="仿宋" w:cs="仿宋"/>
          <w:sz w:val="24"/>
          <w:szCs w:val="24"/>
        </w:rPr>
        <w:t>第二章 供应商应当提交的资格、资信等证明文件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_Toc27626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"_Toc9151" </w:instrText>
      </w:r>
      <w:r>
        <w:fldChar w:fldCharType="separate"/>
      </w:r>
      <w:r>
        <w:rPr>
          <w:rFonts w:hint="eastAsia" w:ascii="仿宋" w:hAnsi="仿宋" w:eastAsia="仿宋" w:cs="仿宋"/>
          <w:sz w:val="24"/>
          <w:szCs w:val="24"/>
        </w:rPr>
        <w:t>第三章     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_Toc9151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"_Toc15863" </w:instrText>
      </w:r>
      <w:r>
        <w:fldChar w:fldCharType="separate"/>
      </w:r>
      <w:r>
        <w:rPr>
          <w:rFonts w:hint="eastAsia" w:ascii="仿宋" w:hAnsi="仿宋" w:eastAsia="仿宋" w:cs="仿宋"/>
          <w:sz w:val="24"/>
          <w:szCs w:val="24"/>
        </w:rPr>
        <w:t>第四章   项目说明及工程量清单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_Toc15863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"_Toc2057" </w:instrText>
      </w:r>
      <w:r>
        <w:fldChar w:fldCharType="separate"/>
      </w:r>
      <w:r>
        <w:rPr>
          <w:rFonts w:hint="eastAsia" w:ascii="仿宋" w:hAnsi="仿宋" w:eastAsia="仿宋" w:cs="仿宋"/>
          <w:sz w:val="24"/>
          <w:szCs w:val="24"/>
        </w:rPr>
        <w:t>第五章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_Toc2057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"_Toc8874" </w:instrText>
      </w:r>
      <w:r>
        <w:fldChar w:fldCharType="separate"/>
      </w:r>
      <w:r>
        <w:rPr>
          <w:rFonts w:hint="eastAsia" w:ascii="仿宋" w:hAnsi="仿宋" w:eastAsia="仿宋" w:cs="仿宋"/>
          <w:sz w:val="24"/>
        </w:rPr>
        <w:t>第一部分 报价函部分格式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_Toc8874 </w:instrText>
      </w:r>
      <w:r>
        <w:rPr>
          <w:rFonts w:hint="eastAsia" w:ascii="仿宋" w:hAnsi="仿宋" w:eastAsia="仿宋" w:cs="仿宋"/>
          <w:sz w:val="24"/>
        </w:rPr>
        <w:fldChar w:fldCharType="separate"/>
      </w:r>
      <w:r>
        <w:rPr>
          <w:rFonts w:hint="eastAsia" w:ascii="仿宋" w:hAnsi="仿宋" w:eastAsia="仿宋" w:cs="仿宋"/>
          <w:sz w:val="24"/>
        </w:rPr>
        <w:t>29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"_Toc31818" </w:instrText>
      </w:r>
      <w:r>
        <w:fldChar w:fldCharType="separate"/>
      </w:r>
      <w:r>
        <w:rPr>
          <w:rFonts w:hint="eastAsia" w:ascii="仿宋" w:hAnsi="仿宋" w:eastAsia="仿宋" w:cs="仿宋"/>
          <w:sz w:val="24"/>
        </w:rPr>
        <w:t>第二部分 商务部分格式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_Toc31818 </w:instrText>
      </w:r>
      <w:r>
        <w:rPr>
          <w:rFonts w:hint="eastAsia" w:ascii="仿宋" w:hAnsi="仿宋" w:eastAsia="仿宋" w:cs="仿宋"/>
          <w:sz w:val="24"/>
        </w:rPr>
        <w:fldChar w:fldCharType="separate"/>
      </w:r>
      <w:r>
        <w:rPr>
          <w:rFonts w:hint="eastAsia" w:ascii="仿宋" w:hAnsi="仿宋" w:eastAsia="仿宋" w:cs="仿宋"/>
          <w:sz w:val="24"/>
        </w:rPr>
        <w:t>32</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"_Toc18128" </w:instrText>
      </w:r>
      <w:r>
        <w:fldChar w:fldCharType="separate"/>
      </w:r>
      <w:r>
        <w:rPr>
          <w:rFonts w:hint="eastAsia" w:ascii="仿宋" w:hAnsi="仿宋" w:eastAsia="仿宋" w:cs="仿宋"/>
          <w:sz w:val="24"/>
        </w:rPr>
        <w:t>第三部分 技术部分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_Toc18128 </w:instrText>
      </w:r>
      <w:r>
        <w:rPr>
          <w:rFonts w:hint="eastAsia" w:ascii="仿宋" w:hAnsi="仿宋" w:eastAsia="仿宋" w:cs="仿宋"/>
          <w:sz w:val="24"/>
        </w:rPr>
        <w:fldChar w:fldCharType="separate"/>
      </w:r>
      <w:r>
        <w:rPr>
          <w:rFonts w:hint="eastAsia" w:ascii="仿宋" w:hAnsi="仿宋" w:eastAsia="仿宋" w:cs="仿宋"/>
          <w:sz w:val="24"/>
        </w:rPr>
        <w:t>33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"_Toc9539" </w:instrText>
      </w:r>
      <w:r>
        <w:fldChar w:fldCharType="separate"/>
      </w:r>
      <w:r>
        <w:rPr>
          <w:rFonts w:hint="eastAsia" w:ascii="仿宋" w:hAnsi="仿宋" w:eastAsia="仿宋" w:cs="仿宋"/>
          <w:sz w:val="24"/>
          <w:szCs w:val="24"/>
        </w:rPr>
        <w:t>第六章 具体评审办法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_Toc9539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"_Toc17222" </w:instrText>
      </w:r>
      <w:r>
        <w:fldChar w:fldCharType="separate"/>
      </w:r>
      <w:r>
        <w:rPr>
          <w:rFonts w:hint="eastAsia" w:ascii="仿宋" w:hAnsi="仿宋" w:eastAsia="仿宋" w:cs="仿宋"/>
          <w:sz w:val="24"/>
          <w:szCs w:val="24"/>
        </w:rPr>
        <w:t>第七章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_Toc17222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"_Toc8916" </w:instrText>
      </w:r>
      <w:r>
        <w:fldChar w:fldCharType="separate"/>
      </w:r>
      <w:r>
        <w:rPr>
          <w:rFonts w:hint="eastAsia" w:ascii="仿宋" w:hAnsi="仿宋" w:eastAsia="仿宋" w:cs="仿宋"/>
          <w:sz w:val="24"/>
        </w:rPr>
        <w:t>密封件封面格式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_Toc8916 </w:instrText>
      </w:r>
      <w:r>
        <w:rPr>
          <w:rFonts w:hint="eastAsia" w:ascii="仿宋" w:hAnsi="仿宋" w:eastAsia="仿宋" w:cs="仿宋"/>
          <w:sz w:val="24"/>
        </w:rPr>
        <w:fldChar w:fldCharType="separate"/>
      </w:r>
      <w:r>
        <w:rPr>
          <w:rFonts w:hint="eastAsia" w:ascii="仿宋" w:hAnsi="仿宋" w:eastAsia="仿宋" w:cs="仿宋"/>
          <w:sz w:val="24"/>
        </w:rPr>
        <w:t>41</w:t>
      </w:r>
      <w:r>
        <w:rPr>
          <w:rFonts w:hint="eastAsia" w:ascii="仿宋" w:hAnsi="仿宋" w:eastAsia="仿宋" w:cs="仿宋"/>
          <w:sz w:val="24"/>
        </w:rPr>
        <w:fldChar w:fldCharType="end"/>
      </w:r>
      <w:r>
        <w:rPr>
          <w:rFonts w:hint="eastAsia" w:ascii="仿宋" w:hAnsi="仿宋" w:eastAsia="仿宋" w:cs="仿宋"/>
          <w:sz w:val="24"/>
        </w:rPr>
        <w:fldChar w:fldCharType="end"/>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end"/>
      </w:r>
      <w:bookmarkStart w:id="0" w:name="_Toc535048496"/>
    </w:p>
    <w:p>
      <w:pPr>
        <w:spacing w:line="360" w:lineRule="auto"/>
        <w:jc w:val="center"/>
        <w:rPr>
          <w:rFonts w:ascii="仿宋" w:hAnsi="仿宋" w:eastAsia="仿宋" w:cs="仿宋"/>
          <w:b/>
          <w:bCs/>
          <w:color w:val="000000" w:themeColor="text1"/>
          <w:sz w:val="40"/>
          <w:szCs w:val="24"/>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br w:type="page"/>
      </w:r>
      <w:r>
        <w:rPr>
          <w:rFonts w:hint="eastAsia" w:ascii="仿宋" w:hAnsi="仿宋" w:eastAsia="仿宋" w:cs="仿宋"/>
          <w:color w:val="000000" w:themeColor="text1"/>
          <w:sz w:val="40"/>
          <w:szCs w:val="24"/>
          <w14:textFill>
            <w14:solidFill>
              <w14:schemeClr w14:val="tx1"/>
            </w14:solidFill>
          </w14:textFill>
        </w:rPr>
        <w:t>第一章 响应须知及前附表</w:t>
      </w:r>
      <w:bookmarkEnd w:id="0"/>
    </w:p>
    <w:p>
      <w:pPr>
        <w:pStyle w:val="4"/>
        <w:spacing w:before="0" w:after="0" w:line="360" w:lineRule="auto"/>
        <w:jc w:val="center"/>
        <w:rPr>
          <w:rFonts w:ascii="仿宋" w:hAnsi="仿宋" w:eastAsia="仿宋" w:cs="仿宋"/>
          <w:b w:val="0"/>
          <w:color w:val="000000" w:themeColor="text1"/>
          <w14:textFill>
            <w14:solidFill>
              <w14:schemeClr w14:val="tx1"/>
            </w14:solidFill>
          </w14:textFill>
        </w:rPr>
      </w:pPr>
      <w:bookmarkStart w:id="1" w:name="_Toc19425"/>
      <w:bookmarkStart w:id="2" w:name="_Toc535048497"/>
      <w:r>
        <w:rPr>
          <w:rFonts w:hint="eastAsia" w:ascii="仿宋" w:hAnsi="仿宋" w:eastAsia="仿宋" w:cs="仿宋"/>
          <w:b w:val="0"/>
          <w:color w:val="000000" w:themeColor="text1"/>
          <w14:textFill>
            <w14:solidFill>
              <w14:schemeClr w14:val="tx1"/>
            </w14:solidFill>
          </w14:textFill>
        </w:rPr>
        <w:t>一、响应须知前附件表</w:t>
      </w:r>
      <w:bookmarkEnd w:id="1"/>
      <w:bookmarkEnd w:id="2"/>
    </w:p>
    <w:tbl>
      <w:tblPr>
        <w:tblStyle w:val="17"/>
        <w:tblW w:w="8923" w:type="dxa"/>
        <w:tblInd w:w="0" w:type="dxa"/>
        <w:tblLayout w:type="fixed"/>
        <w:tblCellMar>
          <w:top w:w="0" w:type="dxa"/>
          <w:left w:w="28" w:type="dxa"/>
          <w:bottom w:w="0" w:type="dxa"/>
          <w:right w:w="28" w:type="dxa"/>
        </w:tblCellMar>
      </w:tblPr>
      <w:tblGrid>
        <w:gridCol w:w="591"/>
        <w:gridCol w:w="8332"/>
      </w:tblGrid>
      <w:tr>
        <w:tblPrEx>
          <w:tblLayout w:type="fixed"/>
          <w:tblCellMar>
            <w:top w:w="0" w:type="dxa"/>
            <w:left w:w="28" w:type="dxa"/>
            <w:bottom w:w="0" w:type="dxa"/>
            <w:right w:w="28" w:type="dxa"/>
          </w:tblCellMar>
        </w:tblPrEx>
        <w:trPr>
          <w:trHeight w:val="584" w:hRule="atLeast"/>
        </w:trPr>
        <w:tc>
          <w:tcPr>
            <w:tcW w:w="591" w:type="dxa"/>
            <w:tcBorders>
              <w:top w:val="single" w:color="000000" w:sz="4" w:space="0"/>
              <w:left w:val="single" w:color="000000" w:sz="4" w:space="0"/>
              <w:bottom w:val="single" w:color="000000" w:sz="4" w:space="0"/>
            </w:tcBorders>
            <w:vAlign w:val="center"/>
          </w:tcPr>
          <w:p>
            <w:pPr>
              <w:snapToGrid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   容  规   定</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833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工程名称：山东科技大学科技园自行车车棚制作安装</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施工项目：</w:t>
            </w:r>
            <w:r>
              <w:rPr>
                <w:rFonts w:hint="eastAsia" w:ascii="仿宋" w:hAnsi="仿宋" w:eastAsia="仿宋" w:cs="仿宋"/>
                <w:color w:val="000000" w:themeColor="text1"/>
                <w:sz w:val="24"/>
                <w:szCs w:val="24"/>
                <w14:textFill>
                  <w14:solidFill>
                    <w14:schemeClr w14:val="tx1"/>
                  </w14:solidFill>
                </w14:textFill>
              </w:rPr>
              <w:t>科技园自行车车棚制作安装</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承包人：包工包料、包质量、包工期、包安全</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质量标准：合格</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pPr>
            <w:r>
              <w:rPr>
                <w:rFonts w:hint="eastAsia" w:ascii="仿宋" w:hAnsi="仿宋" w:eastAsia="仿宋" w:cs="仿宋"/>
                <w:color w:val="000000" w:themeColor="text1"/>
                <w:sz w:val="24"/>
                <w:szCs w:val="24"/>
                <w14:textFill>
                  <w14:solidFill>
                    <w14:schemeClr w14:val="tx1"/>
                  </w14:solidFill>
                </w14:textFill>
              </w:rPr>
              <w:t>施工范围：</w:t>
            </w:r>
            <w:r>
              <w:rPr>
                <w:rFonts w:hint="eastAsia" w:ascii="仿宋" w:hAnsi="仿宋" w:eastAsia="仿宋" w:cs="仿宋"/>
                <w:sz w:val="24"/>
                <w:szCs w:val="24"/>
              </w:rPr>
              <w:t>详见项目说明及工程量清单</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工程规模：</w:t>
            </w:r>
            <w:r>
              <w:rPr>
                <w:rFonts w:hint="eastAsia" w:ascii="仿宋" w:hAnsi="仿宋" w:eastAsia="仿宋" w:cs="仿宋"/>
                <w:sz w:val="24"/>
                <w:szCs w:val="24"/>
              </w:rPr>
              <w:t>详见项目说明及工程量清单</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包号划分及控制价：4.9万元</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总工期：自合同签订之日起15日历日。</w:t>
            </w:r>
          </w:p>
          <w:p>
            <w:pPr>
              <w:snapToGrid w:val="0"/>
              <w:spacing w:line="44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具体施工时间以发包人通知为准。发包人有权对开工、竣工时间做出适当调整，并适时通知成交人。</w:t>
            </w:r>
          </w:p>
        </w:tc>
      </w:tr>
      <w:tr>
        <w:tblPrEx>
          <w:tblLayout w:type="fixed"/>
          <w:tblCellMar>
            <w:top w:w="0" w:type="dxa"/>
            <w:left w:w="28" w:type="dxa"/>
            <w:bottom w:w="0" w:type="dxa"/>
            <w:right w:w="28" w:type="dxa"/>
          </w:tblCellMar>
        </w:tblPrEx>
        <w:trPr>
          <w:trHeight w:val="262"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工程保修期：2年。</w:t>
            </w:r>
          </w:p>
        </w:tc>
      </w:tr>
      <w:tr>
        <w:tblPrEx>
          <w:tblLayout w:type="fixed"/>
          <w:tblCellMar>
            <w:top w:w="0" w:type="dxa"/>
            <w:left w:w="28" w:type="dxa"/>
            <w:bottom w:w="0" w:type="dxa"/>
            <w:right w:w="28" w:type="dxa"/>
          </w:tblCellMar>
        </w:tblPrEx>
        <w:trPr>
          <w:trHeight w:val="277"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供应商资格要求：</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1、具有独立承担民事责任的能力；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2、具有良好的商业信誉和健全的财务会计制度；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3、具有履行合同所必需的设备和专业技术能力；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4、有依法缴纳税收和社会保障资金的良好记录；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5、参加采购活动前三年内，在经营活动中没有重大违法记录；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6、法律、行政法规规定的其他条件； </w:t>
            </w:r>
          </w:p>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7、通过“信用中国”网站（www.creditchina.gov.cn）查询，未被列入失信被执行人、重大税收违法案件当事人、采购严重违法失信行为记录等名单的；</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8、本项目不接受联合体投标。</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资格审查方式：资格后审，合格制</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报价方式：公开报价，合格的供应商具有再次报价的机会。</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响应有效期：开标日后的90天（日历日）</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磋商文件售价：200元（售后不退）；</w:t>
            </w:r>
          </w:p>
        </w:tc>
      </w:tr>
      <w:tr>
        <w:tblPrEx>
          <w:tblLayout w:type="fixed"/>
          <w:tblCellMar>
            <w:top w:w="0" w:type="dxa"/>
            <w:left w:w="28" w:type="dxa"/>
            <w:bottom w:w="0" w:type="dxa"/>
            <w:right w:w="28" w:type="dxa"/>
          </w:tblCellMar>
        </w:tblPrEx>
        <w:trPr>
          <w:trHeight w:val="16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获取磋商文件时间：2019年6月</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日9:00—2019年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日16:30截止（北京时间，双休日、节假日除外）。</w:t>
            </w:r>
          </w:p>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（工作时间：上午9:00—12:00，下午13:00—16:30）；</w:t>
            </w:r>
          </w:p>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地点：青岛市市北区敦化路138号甲西王大厦24楼23A01室</w:t>
            </w:r>
            <w:r>
              <w:rPr>
                <w:rFonts w:hint="eastAsia" w:ascii="仿宋" w:hAnsi="仿宋" w:eastAsia="仿宋" w:cs="仿宋"/>
                <w:color w:val="000000" w:themeColor="text1"/>
                <w14:textFill>
                  <w14:solidFill>
                    <w14:schemeClr w14:val="tx1"/>
                  </w14:solidFill>
                </w14:textFill>
              </w:rPr>
              <w:t>。</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报名方式（二选一）：</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（1）现场报名：获取磋商文件时须携带营业执照副本原件或加盖公章的复印件到山东盛和招标代理有限公司报名；</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报名地点：青岛市市北区敦化路138号甲西王大厦24楼23A01室。</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（2）网上报名：有意参加本次采购活动的供应商发送邮件。邮件内容：</w:t>
            </w:r>
            <w:r>
              <w:fldChar w:fldCharType="begin"/>
            </w:r>
            <w:r>
              <w:instrText xml:space="preserve"> HYPERLINK "mailto:项目名称、项目编号、包号、公司名称、联系人、联系电话、邮箱、营业执照副本扫描件、标书费汇款底单发送至山东盛和招标代理有限公司邮箱shzbqdb@163.com，邮件名称命名为" </w:instrText>
            </w:r>
            <w:r>
              <w:fldChar w:fldCharType="separate"/>
            </w:r>
            <w:r>
              <w:rPr>
                <w:rStyle w:val="20"/>
                <w:rFonts w:hint="eastAsia" w:ascii="仿宋" w:hAnsi="仿宋" w:eastAsia="仿宋"/>
                <w:sz w:val="24"/>
                <w:szCs w:val="24"/>
              </w:rPr>
              <w:t>项目名称、项目编号、包号、公司名称、联系人、联系电话、邮箱、营业执照副本扫描件、标书费汇款底单发送至山东盛和招标代理有限公司邮箱shzbqdb@163.com，邮件名称命名为</w:t>
            </w:r>
            <w:r>
              <w:rPr>
                <w:rStyle w:val="20"/>
                <w:rFonts w:hint="eastAsia" w:ascii="仿宋" w:hAnsi="仿宋" w:eastAsia="仿宋"/>
                <w:sz w:val="24"/>
                <w:szCs w:val="24"/>
              </w:rPr>
              <w:fldChar w:fldCharType="end"/>
            </w:r>
            <w:r>
              <w:rPr>
                <w:rFonts w:hint="eastAsia" w:ascii="仿宋" w:hAnsi="仿宋" w:eastAsia="仿宋"/>
                <w:sz w:val="24"/>
                <w:szCs w:val="24"/>
              </w:rPr>
              <w:t xml:space="preserve"> 山东科技大学SDSHZB2019-398-报名-包号-“响应单位名称”。(提交标书费须从公司基本账户或一般账户转出，须标明项目编号)</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sz w:val="24"/>
                <w:szCs w:val="24"/>
              </w:rPr>
              <w:t>未按以上规定内容报名的视为报名无效。</w:t>
            </w:r>
          </w:p>
        </w:tc>
      </w:tr>
      <w:tr>
        <w:tblPrEx>
          <w:tblLayout w:type="fixed"/>
          <w:tblCellMar>
            <w:top w:w="0" w:type="dxa"/>
            <w:left w:w="28" w:type="dxa"/>
            <w:bottom w:w="0" w:type="dxa"/>
            <w:right w:w="28" w:type="dxa"/>
          </w:tblCellMar>
        </w:tblPrEx>
        <w:trPr>
          <w:trHeight w:val="3101"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保证金：900元。</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保证金必须在2019年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日09:</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0之前到账，以电汇形式（电汇以到账时间为准）提交。电汇形式提交的保证金，必须从公司基本账户或一般账户转出，并备注所投项目编号及包号。</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开户名称：山东盛和招标代理有限公司</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开户银行：兴业银行青岛市北支行</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    号：522130100100053768</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保证金必须在规定时间之前到达上述账户，否则视为自动放弃本次响应资格。</w:t>
            </w:r>
          </w:p>
        </w:tc>
      </w:tr>
      <w:tr>
        <w:tblPrEx>
          <w:tblLayout w:type="fixed"/>
          <w:tblCellMar>
            <w:top w:w="0" w:type="dxa"/>
            <w:left w:w="28" w:type="dxa"/>
            <w:bottom w:w="0" w:type="dxa"/>
            <w:right w:w="28" w:type="dxa"/>
          </w:tblCellMar>
        </w:tblPrEx>
        <w:trPr>
          <w:trHeight w:val="311"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踏勘现场:统一勘查现场</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响应文件内需附有经采购人签字的勘察现场登记表（登记表原件按包号胶装在相应包号的响应文件正本，登记表复印件胶装在副本）</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勘察现场时间：2019年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日上午10：00</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集合地点：山东科技大学南门行政楼门口</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联系人及联系方式：赵老师  18205425098</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采购答疑：</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1、答疑文件提交：磋商文件发售截止时间次日17点前</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2、份数：书面形式一份，WORD电子文档一份邮件到shzbqdb@163.com</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地点：青岛市市北区敦化路138号甲西王大厦24楼23A02室</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答疑文件领取：</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时间：另行通知</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地点：青岛市市北区敦化路138号甲西王大厦24楼23A02室</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本项目不接受供应商多方案报价</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响应文件及资料的份数：唱价单一份单独密封，</w:t>
            </w:r>
            <w:r>
              <w:rPr>
                <w:rFonts w:hint="eastAsia" w:ascii="仿宋" w:hAnsi="仿宋" w:eastAsia="仿宋" w:cs="仿宋"/>
                <w:bCs/>
                <w:color w:val="000000" w:themeColor="text1"/>
                <w:sz w:val="24"/>
                <w:szCs w:val="24"/>
                <w14:textFill>
                  <w14:solidFill>
                    <w14:schemeClr w14:val="tx1"/>
                  </w14:solidFill>
                </w14:textFill>
              </w:rPr>
              <w:t>正本一份，副本伍份，电子文档一份（WORD及EXCEL版本）、资质证明文件及相关材料，以上文件分别密封。</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供应商应按本须知前附表所规定的地点，于截止时间前提交上述资料。</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bookmarkStart w:id="3" w:name="OLE_LINK54"/>
            <w:bookmarkStart w:id="4" w:name="OLE_LINK55"/>
            <w:r>
              <w:rPr>
                <w:rFonts w:hint="eastAsia" w:ascii="仿宋" w:hAnsi="仿宋" w:eastAsia="仿宋" w:cs="仿宋"/>
                <w:color w:val="000000" w:themeColor="text1"/>
                <w:sz w:val="24"/>
                <w:szCs w:val="24"/>
                <w14:textFill>
                  <w14:solidFill>
                    <w14:schemeClr w14:val="tx1"/>
                  </w14:solidFill>
                </w14:textFill>
              </w:rPr>
              <w:t>付款方式：</w:t>
            </w:r>
          </w:p>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签订合同前，缴纳履约保证金，乙方支付成交价款5％作为履约保证金，工程竣工经验收合格并审计完毕后付总工程造价的100%，履约保证金在工程保修期满后一月内无息付清</w:t>
            </w:r>
            <w:bookmarkEnd w:id="3"/>
            <w:bookmarkEnd w:id="4"/>
            <w:r>
              <w:rPr>
                <w:rFonts w:hint="eastAsia" w:ascii="仿宋" w:hAnsi="仿宋" w:eastAsia="仿宋" w:cs="仿宋"/>
                <w:bCs/>
                <w:color w:val="000000" w:themeColor="text1"/>
                <w:sz w:val="24"/>
                <w:szCs w:val="24"/>
                <w14:textFill>
                  <w14:solidFill>
                    <w14:schemeClr w14:val="tx1"/>
                  </w14:solidFill>
                </w14:textFill>
              </w:rPr>
              <w:t>。</w:t>
            </w:r>
          </w:p>
        </w:tc>
      </w:tr>
      <w:tr>
        <w:tblPrEx>
          <w:tblLayout w:type="fixed"/>
          <w:tblCellMar>
            <w:top w:w="0" w:type="dxa"/>
            <w:left w:w="28" w:type="dxa"/>
            <w:bottom w:w="0" w:type="dxa"/>
            <w:right w:w="28" w:type="dxa"/>
          </w:tblCellMar>
        </w:tblPrEx>
        <w:trPr>
          <w:trHeight w:val="1027"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履约保证金：</w:t>
            </w:r>
          </w:p>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签订合同前，成交供应商从公司账户以电汇等非现金形式按照成交金额的5%（取整数）向采购人交纳履约保证金。</w:t>
            </w:r>
          </w:p>
        </w:tc>
      </w:tr>
      <w:tr>
        <w:tblPrEx>
          <w:tblLayout w:type="fixed"/>
          <w:tblCellMar>
            <w:top w:w="0" w:type="dxa"/>
            <w:left w:w="28" w:type="dxa"/>
            <w:bottom w:w="0" w:type="dxa"/>
            <w:right w:w="28" w:type="dxa"/>
          </w:tblCellMar>
        </w:tblPrEx>
        <w:trPr>
          <w:trHeight w:val="1207"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响应文件递交起止时间：2019年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日0</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:00-09:</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0（北京时间）</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响应文件递交地点 </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递交地点：青岛黄岛区前湾港路299号青岛嘉逸豪庭商务酒店3楼会议室。</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接受单位：山东盛和招标代理有限公司</w:t>
            </w:r>
          </w:p>
        </w:tc>
      </w:tr>
      <w:tr>
        <w:tblPrEx>
          <w:tblLayout w:type="fixed"/>
          <w:tblCellMar>
            <w:top w:w="0" w:type="dxa"/>
            <w:left w:w="28" w:type="dxa"/>
            <w:bottom w:w="0" w:type="dxa"/>
            <w:right w:w="28" w:type="dxa"/>
          </w:tblCellMar>
        </w:tblPrEx>
        <w:trPr>
          <w:trHeight w:val="755"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报价时间：2019年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日09:</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0（北京时间） </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报价地点：青岛黄岛区前湾港路299号青岛嘉逸豪庭商务酒店3楼会议室。</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评审方法及标准：综合评分法</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采购单位：山东科技大学</w:t>
            </w:r>
          </w:p>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联系人：阎老师</w:t>
            </w:r>
          </w:p>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联系电话：0532-86057892</w:t>
            </w:r>
          </w:p>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技术联系人：赵老师</w:t>
            </w:r>
          </w:p>
          <w:p>
            <w:pPr>
              <w:pStyle w:val="2"/>
            </w:pPr>
            <w:r>
              <w:rPr>
                <w:rFonts w:hint="eastAsia" w:ascii="仿宋" w:hAnsi="仿宋" w:eastAsia="仿宋" w:cs="仿宋"/>
                <w:color w:val="000000" w:themeColor="text1"/>
                <w:sz w:val="24"/>
                <w:szCs w:val="24"/>
                <w14:textFill>
                  <w14:solidFill>
                    <w14:schemeClr w14:val="tx1"/>
                  </w14:solidFill>
                </w14:textFill>
              </w:rPr>
              <w:t>联系电话：</w:t>
            </w:r>
            <w:r>
              <w:rPr>
                <w:rFonts w:ascii="仿宋" w:hAnsi="仿宋" w:eastAsia="仿宋" w:cs="仿宋"/>
                <w:color w:val="000000" w:themeColor="text1"/>
                <w:sz w:val="24"/>
                <w:szCs w:val="24"/>
                <w14:textFill>
                  <w14:solidFill>
                    <w14:schemeClr w14:val="tx1"/>
                  </w14:solidFill>
                </w14:textFill>
              </w:rPr>
              <w:t>18205425098</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采购代理机构：山东盛和招标代理有限公司</w:t>
            </w:r>
          </w:p>
          <w:p>
            <w:pPr>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地址：青岛市市北区敦化路138号甲西王大厦24楼23A02室</w:t>
            </w:r>
          </w:p>
          <w:p>
            <w:pPr>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szCs w:val="24"/>
                <w:lang w:val="zh-CN"/>
                <w14:textFill>
                  <w14:solidFill>
                    <w14:schemeClr w14:val="tx1"/>
                  </w14:solidFill>
                </w14:textFill>
              </w:rPr>
              <w:t>马诗晴、陈长海、</w:t>
            </w:r>
            <w:r>
              <w:rPr>
                <w:rFonts w:hint="eastAsia" w:ascii="仿宋" w:hAnsi="仿宋" w:eastAsia="仿宋" w:cs="仿宋"/>
                <w:color w:val="000000" w:themeColor="text1"/>
                <w:sz w:val="24"/>
                <w:szCs w:val="24"/>
                <w14:textFill>
                  <w14:solidFill>
                    <w14:schemeClr w14:val="tx1"/>
                  </w14:solidFill>
                </w14:textFill>
              </w:rPr>
              <w:t>贺鹏琦</w:t>
            </w:r>
          </w:p>
          <w:p>
            <w:pPr>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sz w:val="24"/>
                <w:szCs w:val="24"/>
                <w:lang w:val="zh-CN"/>
              </w:rPr>
              <w:t>0532-85659918、0532-66701999、</w:t>
            </w:r>
            <w:r>
              <w:rPr>
                <w:rFonts w:hint="eastAsia" w:ascii="仿宋" w:hAnsi="仿宋" w:eastAsia="仿宋" w:cs="仿宋"/>
                <w:color w:val="000000" w:themeColor="text1"/>
                <w:sz w:val="24"/>
                <w:szCs w:val="24"/>
                <w14:textFill>
                  <w14:solidFill>
                    <w14:schemeClr w14:val="tx1"/>
                  </w14:solidFill>
                </w14:textFill>
              </w:rPr>
              <w:t>15054262508</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w:t>
            </w:r>
          </w:p>
        </w:tc>
        <w:tc>
          <w:tcPr>
            <w:tcW w:w="833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本项目可磋商内容：采购需求中的技术、服务要求以及合同草案条款。</w:t>
            </w:r>
          </w:p>
        </w:tc>
      </w:tr>
    </w:tbl>
    <w:p>
      <w:pPr>
        <w:rPr>
          <w:rFonts w:ascii="仿宋" w:hAnsi="仿宋" w:eastAsia="仿宋" w:cs="仿宋"/>
          <w:sz w:val="40"/>
        </w:rPr>
      </w:pPr>
      <w:bookmarkStart w:id="5" w:name="_Toc12146"/>
      <w:bookmarkStart w:id="6" w:name="_Toc535048498"/>
      <w:r>
        <w:rPr>
          <w:rFonts w:hint="eastAsia" w:ascii="仿宋" w:hAnsi="仿宋" w:eastAsia="仿宋" w:cs="仿宋"/>
          <w:sz w:val="40"/>
        </w:rPr>
        <w:br w:type="page"/>
      </w:r>
    </w:p>
    <w:p>
      <w:pPr>
        <w:pStyle w:val="3"/>
        <w:spacing w:before="0" w:after="0" w:line="360" w:lineRule="auto"/>
        <w:jc w:val="center"/>
        <w:rPr>
          <w:rFonts w:ascii="仿宋" w:hAnsi="仿宋" w:eastAsia="仿宋" w:cs="仿宋"/>
          <w:sz w:val="40"/>
        </w:rPr>
      </w:pPr>
      <w:bookmarkStart w:id="7" w:name="_Toc22239"/>
      <w:r>
        <w:rPr>
          <w:rFonts w:hint="eastAsia" w:ascii="仿宋" w:hAnsi="仿宋" w:eastAsia="仿宋" w:cs="仿宋"/>
          <w:sz w:val="40"/>
        </w:rPr>
        <w:t>二、响应须知</w:t>
      </w:r>
      <w:bookmarkEnd w:id="5"/>
      <w:bookmarkEnd w:id="6"/>
      <w:bookmarkEnd w:id="7"/>
    </w:p>
    <w:p>
      <w:pPr>
        <w:pStyle w:val="4"/>
        <w:spacing w:before="0" w:after="0" w:line="360" w:lineRule="auto"/>
        <w:jc w:val="left"/>
        <w:rPr>
          <w:rFonts w:ascii="仿宋" w:hAnsi="仿宋" w:eastAsia="仿宋" w:cs="仿宋"/>
          <w:sz w:val="24"/>
          <w:szCs w:val="24"/>
        </w:rPr>
      </w:pPr>
      <w:bookmarkStart w:id="8" w:name="_Toc8715"/>
      <w:bookmarkStart w:id="9" w:name="_Toc19298"/>
      <w:bookmarkStart w:id="10" w:name="_Toc535048499"/>
      <w:r>
        <w:rPr>
          <w:rFonts w:hint="eastAsia" w:ascii="仿宋" w:hAnsi="仿宋" w:eastAsia="仿宋" w:cs="仿宋"/>
          <w:sz w:val="24"/>
          <w:szCs w:val="24"/>
        </w:rPr>
        <w:t>（一）总  则</w:t>
      </w:r>
      <w:bookmarkEnd w:id="8"/>
      <w:bookmarkEnd w:id="9"/>
      <w:bookmarkEnd w:id="10"/>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1、工程说明</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1.1本工程项目说明详见本须知前附表。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1.2本工程按照有关法律、行政法规和部门规章，现通过竞争性磋商方式，择优选择成交人。</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2、采购范围及工期</w:t>
      </w:r>
      <w:r>
        <w:rPr>
          <w:rFonts w:hint="eastAsia" w:ascii="仿宋" w:hAnsi="仿宋" w:eastAsia="仿宋" w:cs="仿宋"/>
          <w:sz w:val="24"/>
          <w:szCs w:val="24"/>
        </w:rPr>
        <w:t>：</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2.1本工程项目的采购范围详见本须知前附表。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2.2本工程项目的工期要求为：承包人必须在合同规定的时间内完成任务并达到验收合格标准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2.3验收标准：合格。</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3、合格的供应商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3.1具有采购须知前附表第10项规定资质；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3.2 本次采购不接受联合体投标；</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3.3 供应商提供的有关证明必须真实可靠，上交原件备查。</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4、踏勘现场</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4.1 按本须知前附表所述的规定，供应商对工程现场及周围环境进行踏勘，以便获取有关编制响应文件和签署合同所涉及现场的资料。供应商承担踏勘现场所发生的一切费用。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4.2 采购单位向供应商提供的有关现场的资料和数据，是采购单位现有的能使供应商利用的资料。采购单位对供应商由此而做出的理解、推论和结论不承担责任；</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4.3 经采购单位的允许，供应商可为踏勘目的进入采购单位的项目现场，但供应商不得因此使采购单位承担有关的责任和蒙受损失。供应商应承担因踏勘现场而造成的死亡、人身伤害、财产损失、损害以及任何责任和风险，引起的费用和开支自行承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4.4 供应商考察现场后将被认为已了解工程项目现场情况，掌握了编制响应文件所需的有关条件；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4.5 供应商在勘查现场时应认真了解工程项目周边状况，充分考虑周围建筑物、地质、水文等因素对响应报价的影响。</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5．费用</w:t>
      </w:r>
    </w:p>
    <w:p>
      <w:pPr>
        <w:overflowPunct w:val="0"/>
        <w:autoSpaceDE w:val="0"/>
        <w:snapToGrid w:val="0"/>
        <w:spacing w:line="360" w:lineRule="auto"/>
        <w:ind w:firstLine="482"/>
        <w:jc w:val="left"/>
        <w:rPr>
          <w:rFonts w:ascii="仿宋" w:hAnsi="仿宋" w:eastAsia="仿宋" w:cs="仿宋"/>
          <w:sz w:val="24"/>
          <w:szCs w:val="24"/>
        </w:rPr>
      </w:pPr>
      <w:r>
        <w:rPr>
          <w:rFonts w:hint="eastAsia" w:ascii="仿宋" w:hAnsi="仿宋" w:eastAsia="仿宋" w:cs="仿宋"/>
          <w:sz w:val="24"/>
          <w:szCs w:val="24"/>
        </w:rPr>
        <w:t>5.1 供应商应承担其参加本次响应活动自身所发生的一切费用。不论采购结果如何，采购单位及采购代理单位对上述费用不负任何责任。所递交的所有与响应有关的资料均不予退还。</w:t>
      </w:r>
    </w:p>
    <w:p>
      <w:pPr>
        <w:pStyle w:val="2"/>
        <w:spacing w:line="360" w:lineRule="auto"/>
        <w:ind w:firstLine="482"/>
        <w:rPr>
          <w:rFonts w:ascii="仿宋" w:hAnsi="仿宋" w:eastAsia="仿宋" w:cs="仿宋"/>
          <w:sz w:val="24"/>
          <w:szCs w:val="24"/>
          <w:lang w:val="zh-CN"/>
        </w:rPr>
      </w:pPr>
      <w:r>
        <w:rPr>
          <w:rFonts w:hint="eastAsia" w:ascii="仿宋" w:hAnsi="仿宋" w:eastAsia="仿宋" w:cs="仿宋"/>
          <w:sz w:val="24"/>
          <w:szCs w:val="24"/>
        </w:rPr>
        <w:t>5.2.1 本工程采购代理服务费由成交人支付。</w:t>
      </w:r>
      <w:r>
        <w:rPr>
          <w:rFonts w:hint="eastAsia" w:ascii="仿宋" w:hAnsi="仿宋" w:eastAsia="仿宋" w:cs="仿宋"/>
          <w:sz w:val="24"/>
          <w:szCs w:val="24"/>
          <w:lang w:val="zh-CN"/>
        </w:rPr>
        <w:t>成交人在签订合同前，按国家计委计价格[2002]1980号文规定的75%向山东盛和招标代理有限公司交纳成交服务费。</w:t>
      </w:r>
      <w:r>
        <w:rPr>
          <w:rFonts w:hint="eastAsia" w:ascii="仿宋" w:hAnsi="仿宋" w:eastAsia="仿宋"/>
          <w:color w:val="000000"/>
          <w:sz w:val="24"/>
          <w:szCs w:val="24"/>
          <w:lang w:val="zh-CN"/>
        </w:rPr>
        <w:t>成交供应商在签订合同前交纳成交金额千分之一的公证费。</w:t>
      </w:r>
    </w:p>
    <w:p>
      <w:pPr>
        <w:pStyle w:val="4"/>
        <w:spacing w:before="0" w:after="0"/>
        <w:rPr>
          <w:rFonts w:ascii="仿宋" w:hAnsi="仿宋" w:eastAsia="仿宋" w:cs="仿宋"/>
          <w:sz w:val="24"/>
          <w:szCs w:val="24"/>
        </w:rPr>
      </w:pPr>
      <w:bookmarkStart w:id="11" w:name="_Toc5524"/>
      <w:bookmarkStart w:id="12" w:name="_Toc21475"/>
      <w:bookmarkStart w:id="13" w:name="_Toc535048500"/>
      <w:r>
        <w:rPr>
          <w:rFonts w:hint="eastAsia" w:ascii="仿宋" w:hAnsi="仿宋" w:eastAsia="仿宋" w:cs="仿宋"/>
          <w:sz w:val="24"/>
          <w:szCs w:val="24"/>
        </w:rPr>
        <w:t>（二）磋商文件</w:t>
      </w:r>
      <w:bookmarkEnd w:id="11"/>
      <w:bookmarkEnd w:id="12"/>
      <w:bookmarkEnd w:id="13"/>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6．磋商文件的组成</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6.1 磋商文件的取得及处理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6.1.1供应商应从山东盛和招标代理有限公司处购买磋商文件，磋商文件一经售出概不退还。</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6.1.2磋商文件应保密，不得向他人泄露磋商文件的任何内容和细节，供应商之间不得相互串通，故意提高或压低报价，若出现或发现上述情况，采购单位有权取消此次采购活动。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6.2 磋商文件包括下列内容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第一章  响应须知及前附表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第二章  供应商应当提交的资格、资信等证明文件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第三章  合同条款</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第四章  项目说明及工程量清单</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第五章  响应文件格式</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第六章  具体评审办法</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第七章  响应文件格式</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6.3 除6．2内容外，采购单位以书面形式发出的对磋商文件的澄清或修改内容，均为磋商文件的组成部分，对采购单位和供应商起约束作用。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6.4 供应商获取磋商文件后，应仔细检查磋商文件的所有内容，如有问题应在获得磋商文件1日内向采购代理单位提出，否则由此引起的损失由供应商自行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响应有可能被拒绝。</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7．磋商文件的澄清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pacing w:val="-8"/>
          <w:sz w:val="24"/>
          <w:szCs w:val="24"/>
        </w:rPr>
        <w:t>.1 供应商在获得磋商文件后，若对磋商文件有任何疑问，应在前附表规定的时间以书面形式向采购单位提出澄清要求，发电子邮件至shzbqdb@163.com，并电话通知。超出时限提出的疑问，概不回答。</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8．磋商文件的修改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8.1 磋商文件发出后，在规定时限内，采购单位可对磋商文件进行必要的澄清和修改。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8.2磋商文件的修改将以书面及邮件的形式发送给所有的供应商，供应商应于收到该修改文件后1个工作日内以书面形式给予确认，逾期不确认视为认同。磋商文件的修改内容作为磋商文件的组成部分，具有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8.3 磋商文件的澄清、修改、补充等内容均以书面形式明确的内容为准。当磋商文件、磋商文件的澄清、修改、补充等在同一内容的表述上不一致时，以最后发出的文件为准。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8.4 为使供应商在编制响应文件时有充分的时间对磋商文件的澄清、修改、补充等内容进行研究，采购单位可以酌情延长提交文件的截止日期，具体时间将在磋商文件修改、补充通知中予以明确。</w:t>
      </w:r>
    </w:p>
    <w:p>
      <w:pPr>
        <w:pStyle w:val="4"/>
        <w:spacing w:before="0" w:after="0" w:line="360" w:lineRule="auto"/>
        <w:rPr>
          <w:rFonts w:ascii="仿宋" w:hAnsi="仿宋" w:eastAsia="仿宋" w:cs="仿宋"/>
          <w:sz w:val="24"/>
          <w:szCs w:val="24"/>
        </w:rPr>
      </w:pPr>
      <w:bookmarkStart w:id="14" w:name="_Toc535048501"/>
      <w:bookmarkStart w:id="15" w:name="_Toc23330"/>
      <w:bookmarkStart w:id="16" w:name="_Toc18237"/>
      <w:r>
        <w:rPr>
          <w:rFonts w:hint="eastAsia" w:ascii="仿宋" w:hAnsi="仿宋" w:eastAsia="仿宋" w:cs="仿宋"/>
          <w:sz w:val="24"/>
          <w:szCs w:val="24"/>
        </w:rPr>
        <w:t>（三） 响应文件的编制</w:t>
      </w:r>
      <w:bookmarkEnd w:id="14"/>
      <w:bookmarkEnd w:id="15"/>
      <w:bookmarkEnd w:id="16"/>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9．响应文件的语言及度量衡单位</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9.1响应文件和与采购有关的所有往来通知、函件均应使用中文。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9.2除工程技术规范另有规定外，响应文件使用的度量衡单位，均采用中华人民共和国法定计量单位。</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10．响应文件的组成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10.1响应文件由报价函、报价一览表、资格审查部分、商务部分、技术部分组成；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第一部分  报价函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1、报价函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2、法人参与响应的提供法定代表人证明及身份证复印件；授权代理人参与响应的提供法定代表人授权委托书、法定代表人身份证复印件、授权代理人的身份证明复印件；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3、报价一览表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4、磋商文件要求供应商提交的其他资料。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第二部分  资格审查部分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1、响应磋商文件要求的相关证明材料。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2、供应商对提供的以上资料的真实性负责，评审过程中磋商小组若对以上供应商提供的资料若发现有不实之处，按无效响应处理。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第三部分  商务部分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1、报价汇总表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2、工程量清单报价表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2.1.响应报价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2.2.工程项目总价表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第四部分  技术部分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1、施工组织设计或施工方案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（1）综合说明，质量、服务、安全文明施工目标；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（2）主要施工方法；新技术、新材料、新工艺、新设备的应用；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（3）工程投入的主要物资和施工机械设备情况、主要施工机械进场计划；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（4）劳动力安排计划；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（5）确保工程质量的技术组织措施；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（6）确保安全生产的技术组织措施；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（7）确保文明施工的技术组织措施；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（8）施工顺序、总进度安排及总形象进度示意图。</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2、项目管理机构配备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（1）项目经理或建造师简历表；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（2）项目管理班子配备情况及其它辅助说明资料、施工力量部署。</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供应商应接上述规定制作响应文件，并按磋商文件给定的相关格式进行编制（给定格式可以根据需要进行调整）；没有的格式可以自行设计。</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11．响应文件格式</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11</w:t>
      </w:r>
      <w:r>
        <w:rPr>
          <w:rFonts w:hint="eastAsia" w:ascii="仿宋" w:hAnsi="仿宋" w:eastAsia="仿宋" w:cs="仿宋"/>
          <w:spacing w:val="-8"/>
          <w:sz w:val="24"/>
          <w:szCs w:val="24"/>
        </w:rPr>
        <w:t>.1 响应文件包括本须知第10条中规定的内容，供应商提交的响应文件应当使用磋商文件所提供的响应文件全部格式（表格可以按同样格式扩展）。</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12．响应报价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12.1本工程为固定综合单价合同,响应报总价。供应商所报的综合单价应为完成一个规定计量单位的分部分项工程量清单项目或措施清单项目所需的人工费、材料费、施工机械使用费和企业管理费与利润，以及一定范围内的风险费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供应商应根据磋商文件、工程量清单、市场价格信息及有关规定，结合本工程特点、采购单位的相关要求及自身技术和管理水平、经营状况以及制定的施工方案，进行报价。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工程价款调整：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由于施工图设计变更、采购单位提供的工程量清单有误或项目特征表述与设计不符、以及其他非承包人原因导致的工程量清单项目、工程量发生变化所影响的工程价款，应按下列方法执行：</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（1）增加的工程量清单项目，其综合单价按照合同相关专用条款确定；</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（2）采购单位采购时提供的工程量有误或因非承包人原因引起的工程量变化，其工程量按实调整，但原有的综合单价不作调整。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12.2其他要求：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12.2.1工程所需临时水、电、道路及施工期间交通组织及周边关系协调等问题均由承包人自行解决，所需费用自行承担。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12.2.2施工过程中应确保沿线道路随时畅通，及时清理路面，保护没线设施，因施工造成的公共设施、构筑物，各类管线、缆等财产损失，由承包人负责；</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12.2.3供应商应最大限度的减少对周围建筑物、构筑物等的影响，并充分考虑安全文明施工、公共利益的保护、公众出行的便利等问题采取有效的施工方法、施工措施对周边的建筑物、构筑物等予以保护，相关的措施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12.2.4报价要求：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报价依据：</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（1）《建设工程工程量清单计价规范》（GB50500-2013）；</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（2）《山东省建设工程工程量清单计价规则》（2011）；</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（4）磋商文件、采购控制价及其补充通知、答疑纪要；</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（5）建设工程相关文件及相关资料；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 xml:space="preserve">（6）施工现场情况、工程特点及拟定的响应施工组织设计或施工方案； </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（7）与建设项目相关的标准、规范等技术资料；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（8）市场价、工程造价管理机构发布的工程造价信息等；</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（9）其他相关资料。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12.2.5工程量清单报价格式中列明的所有需要填报的单价和合价，供应商均应填报，未填报的单价和合价，视为此项费用已包含在工程量清单的其他单价和合价中。</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12.2.6磋商文件中所提供的工程量清单，供应商未经采购单位同意不得更改。否则，采购单位有权拒绝其响应文件。供应商编制响应报价书时，必须严格按照采购控制价编制使用的表格及其内容。否则，采购单位有权拒绝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12.2.7</w:t>
      </w:r>
      <w:r>
        <w:rPr>
          <w:rFonts w:hint="eastAsia" w:ascii="仿宋" w:hAnsi="仿宋" w:eastAsia="仿宋" w:cs="仿宋"/>
          <w:sz w:val="24"/>
          <w:szCs w:val="24"/>
          <w:lang w:val="zh-CN"/>
        </w:rPr>
        <w:t>供应商认为需要提交的其他相关证明文件。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13.响应货币</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13</w:t>
      </w:r>
      <w:r>
        <w:rPr>
          <w:rFonts w:hint="eastAsia" w:ascii="仿宋" w:hAnsi="仿宋" w:eastAsia="仿宋" w:cs="仿宋"/>
          <w:spacing w:val="-8"/>
          <w:sz w:val="24"/>
          <w:szCs w:val="24"/>
        </w:rPr>
        <w:t>.1本工程采购报价采用的币种为人民币。</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14．响应有效期</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14.1响应有效期见本须知前附表所规定的期限，在此期限内，凡符合本磋商文件要求的响应文件均保持有效。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14.2在特殊情况下，采购单位在原定响应有效期内，可以根据需要以书面形式向供应商提出延长响应有效期的要求，对此要求供应商须以书面形式予以答复。供应商可以拒绝采购单位这种要求，而不被没收保证金。同意延长响应有效期的供应商既不能要求也不允许修改其响应文件，但需要相应的延长保证金的有效期，在延长的响应有效期内，本须知第15条关于保证金的退还与没收的规定仍然适用。</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15．保证金</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15.1供应商应在提交响应文件的同时，按本须知前附表规定提交保证金，并作为其响应文件的一部分。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15.2对于未能按要求提交保证金的供应商，采购单位将视为符合性审查不通过而予以无效响应。</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 如供应商发生下列情况之一时，保证金将被没收：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15.3.1 供应商在开标后至响应有效期满前撤回其响应文件；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15.3.2 成交后未能在规定期限内提交履约保证金或签订合同协议。</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16．供应商的替代方案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16</w:t>
      </w:r>
      <w:r>
        <w:rPr>
          <w:rFonts w:hint="eastAsia" w:ascii="仿宋" w:hAnsi="仿宋" w:eastAsia="仿宋" w:cs="仿宋"/>
          <w:spacing w:val="-8"/>
          <w:sz w:val="24"/>
          <w:szCs w:val="24"/>
        </w:rPr>
        <w:t>.1本次采购不接受替代方案。</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17．响应文件的份数和签署</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17.1 供应商应按本须知前附表规定的份数提交响应文件。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17.2 响应文件封面、密封条骑缝处及报价函均应加盖供应商印章并经法定代表人或其委托代理人签字或盖章。由委托代理人签字或盖章的响应文件中须同时提交响应文件签署授权委托书，否则响应文件签署无效。</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17.3 除供应商对错误处须修改外，全套响应文件应无涂改或行间插字和增删。如有修改，修改处应由供应商加盖供应商的印章或由授权代表签字或盖章。</w:t>
      </w:r>
    </w:p>
    <w:p>
      <w:pPr>
        <w:pStyle w:val="2"/>
        <w:rPr>
          <w:rFonts w:ascii="仿宋" w:hAnsi="仿宋" w:eastAsia="仿宋" w:cs="仿宋"/>
          <w:b/>
          <w:spacing w:val="-8"/>
          <w:sz w:val="24"/>
          <w:szCs w:val="24"/>
        </w:rPr>
      </w:pPr>
      <w:r>
        <w:rPr>
          <w:rFonts w:hint="eastAsia" w:ascii="仿宋" w:hAnsi="仿宋" w:eastAsia="仿宋" w:cs="仿宋"/>
          <w:b/>
          <w:spacing w:val="-8"/>
          <w:sz w:val="24"/>
          <w:szCs w:val="24"/>
        </w:rPr>
        <w:t>18．质疑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18.1参加本次采购活动的供应商认为磋商文件、采购过程和成交结果使自己的权益受到损害的，可以在知道或者应知道其权益受到损害之日起7个工作日内，以书面形式一次性向采购人或者采购代理机构提出质疑。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18.2质疑书内容应包括以下主要内容：</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18.2.1供应商的姓名或者名称、地址、邮编、联系人及联系电话；</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18.2.2质疑项目的名称、编号；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18.2.3具体、明确的质疑事项和与质疑事项相关的请求；</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18.2.4事实依据；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18.2.5必要的法律依据；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18.2.6提出质疑的日期。</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18.3供应商为自然人的，应当由本人签字；供应商为法人或者其他组织的，应当由法定代表人、主要负责人，或者其授权代表签字或者盖章，并加盖公章。否则采购人或者采购代理机构不予受理。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18.4除书面形式外，其他任何方式的质疑，采购人或者采购代理机构均不予接受和回复。</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18.5采购人或者采购代理机构在收到质疑书后7个工作日内做出书面答复，并以书面形式通知质疑人和其他有关供应商，但答复不得涉及商业秘密。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18.6质疑人对采购人、采购代理机构的答复不满意或者采购人、采购代理机构未在规定的时间内做出答复的，可以在答复期满后15个工作日内向同级监管部门投诉。</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18.7参加本次采购活动的供应商认为磋商文件、磋商过程和成交结果使自己的权益受到损害的，可以在知道或者应知道其权益受到损害之日起7个工作日内，以书面形式向采购人或者采购代理机构一次性提出质疑。</w:t>
      </w:r>
    </w:p>
    <w:p>
      <w:pPr>
        <w:pStyle w:val="2"/>
        <w:spacing w:line="360" w:lineRule="auto"/>
        <w:ind w:firstLine="480" w:firstLineChars="200"/>
        <w:rPr>
          <w:rFonts w:ascii="仿宋" w:hAnsi="仿宋" w:eastAsia="仿宋" w:cs="仿宋"/>
          <w:sz w:val="24"/>
          <w:szCs w:val="24"/>
        </w:rPr>
      </w:pPr>
      <w:bookmarkStart w:id="17" w:name="_Toc469327377"/>
      <w:r>
        <w:rPr>
          <w:rFonts w:hint="eastAsia" w:ascii="仿宋" w:hAnsi="仿宋" w:eastAsia="仿宋" w:cs="仿宋"/>
          <w:sz w:val="24"/>
          <w:szCs w:val="24"/>
        </w:rPr>
        <w:t>18.8质疑联系方式详见第一章项目负责人联系方式</w:t>
      </w:r>
    </w:p>
    <w:p>
      <w:pPr>
        <w:pStyle w:val="2"/>
        <w:spacing w:line="360" w:lineRule="auto"/>
        <w:rPr>
          <w:rFonts w:ascii="仿宋" w:hAnsi="仿宋" w:eastAsia="仿宋" w:cs="仿宋"/>
          <w:b/>
          <w:spacing w:val="-8"/>
          <w:sz w:val="24"/>
          <w:szCs w:val="24"/>
        </w:rPr>
      </w:pPr>
      <w:r>
        <w:rPr>
          <w:rFonts w:hint="eastAsia" w:ascii="仿宋" w:hAnsi="仿宋" w:eastAsia="仿宋" w:cs="仿宋"/>
          <w:b/>
          <w:spacing w:val="-8"/>
          <w:sz w:val="24"/>
          <w:szCs w:val="24"/>
        </w:rPr>
        <w:t>19.投诉</w:t>
      </w:r>
      <w:bookmarkEnd w:id="17"/>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19.1按照相关的法律、法规及规定，质疑人对采购人、采购代理机构的答复不满意或者采购人、采购代理机构未在规定的时间内做出答复的，可以在答复期满后15个工作日内向同级监管部门投诉。</w:t>
      </w:r>
    </w:p>
    <w:p>
      <w:pPr>
        <w:pStyle w:val="4"/>
        <w:spacing w:before="0" w:after="0" w:line="360" w:lineRule="auto"/>
        <w:rPr>
          <w:rFonts w:ascii="仿宋" w:hAnsi="仿宋" w:eastAsia="仿宋" w:cs="仿宋"/>
          <w:sz w:val="24"/>
          <w:szCs w:val="24"/>
        </w:rPr>
      </w:pPr>
      <w:bookmarkStart w:id="18" w:name="_Toc11061"/>
      <w:bookmarkStart w:id="19" w:name="_Toc509"/>
      <w:bookmarkStart w:id="20" w:name="_Toc535048502"/>
      <w:r>
        <w:rPr>
          <w:rFonts w:hint="eastAsia" w:ascii="仿宋" w:hAnsi="仿宋" w:eastAsia="仿宋" w:cs="仿宋"/>
          <w:sz w:val="24"/>
          <w:szCs w:val="24"/>
        </w:rPr>
        <w:t>（四）响应文件的提交</w:t>
      </w:r>
      <w:bookmarkEnd w:id="18"/>
      <w:bookmarkEnd w:id="19"/>
      <w:bookmarkEnd w:id="20"/>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20．响应文件的装订、密封和标记</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20.1响应文件的装订要求：响应文件的正本和副本均需采用A4纸张打印，采用WORD或EXCEL文本，字迹应清晰易于辨认，于左侧按目录顺序装订成册，并在每页上注明页码。应在响应文件封面的右上角清楚注明“正本”、“副本”和“包号”。正本和副本如有不一致之处，以正本为准。唱价单单独密封一份，当唱价单与正本不一致时，以唱价单为准，并加盖单位公章和法定代表人（或代理人）印鉴。由委托代理人签字或盖章的响应文件中须同时提交响应文件签署授权委托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20.2 供应商所提交的响应文件必须胶装。</w:t>
      </w:r>
    </w:p>
    <w:p>
      <w:pPr>
        <w:overflowPunct w:val="0"/>
        <w:autoSpaceDE w:val="0"/>
        <w:snapToGrid w:val="0"/>
        <w:spacing w:line="360" w:lineRule="auto"/>
        <w:ind w:firstLine="450"/>
        <w:rPr>
          <w:rFonts w:ascii="仿宋" w:hAnsi="仿宋" w:eastAsia="仿宋" w:cs="仿宋"/>
        </w:rPr>
      </w:pPr>
      <w:r>
        <w:rPr>
          <w:rFonts w:hint="eastAsia" w:ascii="仿宋" w:hAnsi="仿宋" w:eastAsia="仿宋" w:cs="仿宋"/>
          <w:b/>
          <w:spacing w:val="-8"/>
          <w:sz w:val="24"/>
          <w:szCs w:val="24"/>
        </w:rPr>
        <w:t>响应文件必须胶装，否则为无效响应文件。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20.2 供应商应将响应文件的正本和副本分别密封；唱价单单独密封一份，资质证明文件单独密封一份；响应文件电子版单独密封一份。</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 在响应文件密封袋上应注明：</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20.3.1 项目名称、项目编号、所响应包号；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20.3.2 供应商名称、地址、联系人、联系电话；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20.3.3 “开标时才能启封”字样。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20.4 供应商应按磋商文件附件的密封件封面格式密封响应文件及相关资料，以便本须知第23条规定情况发生时，采购单位可按封袋上标明的供应商地址将响应文件原封退回。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20.5 如果响应文件没有按本须知第20.1款、第20.2款和第0.3款规定装订和加写标记及密封，采购单位将不承担响应文件提前开封的责任。对由此造成的提前开封的响应文件将予以拒绝，并退还给供应商。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20.6 所有响应文件的外层密封袋的封口处应加盖供应商公章、法定代表人印鉴（或授权代表签字）。</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20.7唱价单单独密封在一个信封内，与响应文件同时递交。在信封密封骑缝处加盖供应商公章、法定代表人或法定代表人授权委托人印章，并在封面上注明：“唱价单”、项目名称、项目编号、所响应包号、供应商名称、供应商地址及联系方式、 “开标时才能启封”字样。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20.8 电子文档可以是WORD或EXCEL格式，也按上述要求单独密封和标志。</w:t>
      </w:r>
    </w:p>
    <w:p>
      <w:pPr>
        <w:overflowPunct w:val="0"/>
        <w:autoSpaceDE w:val="0"/>
        <w:snapToGrid w:val="0"/>
        <w:spacing w:line="360" w:lineRule="auto"/>
        <w:ind w:firstLine="480"/>
        <w:rPr>
          <w:rFonts w:ascii="仿宋" w:hAnsi="仿宋" w:eastAsia="仿宋" w:cs="仿宋"/>
          <w:b/>
        </w:rPr>
      </w:pPr>
      <w:r>
        <w:rPr>
          <w:rFonts w:hint="eastAsia" w:ascii="仿宋" w:hAnsi="仿宋" w:eastAsia="仿宋" w:cs="仿宋"/>
          <w:sz w:val="24"/>
          <w:szCs w:val="24"/>
        </w:rPr>
        <w:t>20.9资质证明文件及相关材料也按上述要求单独密封和标志。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21．响应文件的提交</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21.</w:t>
      </w:r>
      <w:r>
        <w:rPr>
          <w:rFonts w:hint="eastAsia" w:ascii="仿宋" w:hAnsi="仿宋" w:eastAsia="仿宋" w:cs="仿宋"/>
          <w:spacing w:val="-8"/>
          <w:sz w:val="24"/>
          <w:szCs w:val="24"/>
        </w:rPr>
        <w:t>1供应商应按本须知前附表所规定的地点，于截止时间前提交响应文件。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22．响应文件提交的截止时间</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22.1响应文件提交的截止时间见本须知前附表规定。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22.2采购单位可按本须知第8条规定以修改补充通知的方式，酌情延长提交响应文件的截止时间。在此情况下，供应商的所有权利和义务以及供应商受制约的截止时间，均以延长后新的响应截止时间为准。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23．迟交的响应文件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23</w:t>
      </w:r>
      <w:r>
        <w:rPr>
          <w:rFonts w:hint="eastAsia" w:ascii="仿宋" w:hAnsi="仿宋" w:eastAsia="仿宋" w:cs="仿宋"/>
          <w:spacing w:val="-8"/>
          <w:sz w:val="24"/>
          <w:szCs w:val="24"/>
        </w:rPr>
        <w:t>.1在本须知第20条规定的响应截止时间以后递交的响应文件，将被拒绝并退回给供应商。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24．响应文件的补充、修改与撤回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24.1供应商在提交响应文件以后，在规定的响应截止时间之前，可以以书面形式补充修改或撤回已提交的响应文件，并以书面形式通知采购单位。补充、修改的内容为响应文件的组成部分。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24.2供应商对响应文件的补充、修改，应按本须知第20条有关规定密封、标记和提交，并在内外层响应文件密封袋上清楚标明“补充、修改”或“撤回”字样。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24.3采购撤回通知书也可采用邮件的方式，只要采购单位在响应截止日期前收到此邮件，但此邮件应满足下列条件：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（1）邮件上应有供应商名称、地址、电话并有供应商公章；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（2）具有本须知第20.3款所要求的标注；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（3）非常清楚地标明“撤回”字样；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（4）有授权代表的签字或随后有经签署的确认文本。</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24.4在响应截止时间之后，供应商不得补充、修改响应文件。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24.5在响应截止日期至供应商在报价函中规定的响应有效期满之前的这段时间内，供应商不得撤回其响应文件，否则其保证金将被没收。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25．资格后审（详见开标会部分）</w:t>
      </w:r>
    </w:p>
    <w:p>
      <w:pPr>
        <w:pStyle w:val="4"/>
        <w:spacing w:before="0" w:after="0"/>
        <w:rPr>
          <w:rFonts w:ascii="仿宋" w:hAnsi="仿宋" w:eastAsia="仿宋" w:cs="仿宋"/>
          <w:sz w:val="24"/>
          <w:szCs w:val="24"/>
        </w:rPr>
      </w:pPr>
      <w:bookmarkStart w:id="21" w:name="_Toc535048503"/>
      <w:bookmarkStart w:id="22" w:name="_Toc22369"/>
      <w:bookmarkStart w:id="23" w:name="_Toc24278"/>
      <w:r>
        <w:rPr>
          <w:rFonts w:hint="eastAsia" w:ascii="仿宋" w:hAnsi="仿宋" w:eastAsia="仿宋" w:cs="仿宋"/>
          <w:sz w:val="24"/>
          <w:szCs w:val="24"/>
        </w:rPr>
        <w:t>（五）开标会</w:t>
      </w:r>
      <w:bookmarkEnd w:id="21"/>
      <w:bookmarkEnd w:id="22"/>
      <w:bookmarkEnd w:id="23"/>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26．开标会程序</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26.1采购单位按本须知前附表所规定的时间和地点公开举行开标会议，并邀请所有供应商参加。供应商的法定代表人或授权代表必须出席开标会议，并签名报到，如不能按时参加,视为自动放弃。</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26.2 按规定提交合格的撤回通知的响应文件不予开封，并退回给供应商；在响应截止时间之后递交的响应文件，将不予接收，原封退还给供应商。按本须知第25条规定确定为无效的响应文件，不予送交评审。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 开标会议程序</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26.3.1 开标会议由采购代理单位主持，按照开标会程序进行。</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26.3.2 报价：响应文件经检查无误后当众拆封，由报价人统一宣读唱价单，其内容要与响应文件一致，否则以唱价单为准。报价完毕后如无误，各供应商授权代表对报价内容现场签字认可。</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26.3.3 采购单位在磋商文件要求提交响应文件的截止时间前收到的响应文件，开标会议上都应当众予以拆封、宣读唱价单。</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26.3.4采购代理单位对开标会议过程进行记录，并存档备查。</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26.3.5 响应文件有下列情形之一的。采购单位不予受理：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1）逾期送达的或者未送达指定地点的；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2）未按本须知第20条的要求装订、密封和标记的。</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27．响应文件的有效性</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27.1评审时，响应文件出现下列情形之一的，由评审委员会初审后按无效响应处理：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w:t>
      </w:r>
      <w:r>
        <w:rPr>
          <w:rFonts w:hint="eastAsia" w:ascii="仿宋" w:hAnsi="仿宋" w:eastAsia="仿宋" w:cs="仿宋"/>
          <w:spacing w:val="-8"/>
          <w:sz w:val="24"/>
          <w:szCs w:val="24"/>
        </w:rPr>
        <w:t>不具备前附表第10项供应商资格要求；</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w:t>
      </w:r>
      <w:r>
        <w:rPr>
          <w:rFonts w:hint="eastAsia" w:ascii="仿宋" w:hAnsi="仿宋" w:eastAsia="仿宋" w:cs="仿宋"/>
          <w:spacing w:val="-8"/>
          <w:sz w:val="24"/>
          <w:szCs w:val="24"/>
        </w:rPr>
        <w:t>响应文件未按磋商文件规定要求制作、密封、签署、盖章；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27.1.3</w:t>
      </w:r>
      <w:r>
        <w:rPr>
          <w:rFonts w:hint="eastAsia" w:ascii="仿宋" w:hAnsi="仿宋" w:eastAsia="仿宋" w:cs="仿宋"/>
          <w:spacing w:val="-8"/>
          <w:sz w:val="24"/>
          <w:szCs w:val="24"/>
        </w:rPr>
        <w:t>拒绝报价、报价不确定、超出预算控制价或者有多个报价；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27.1.4</w:t>
      </w:r>
      <w:r>
        <w:rPr>
          <w:rFonts w:hint="eastAsia" w:ascii="仿宋" w:hAnsi="仿宋" w:eastAsia="仿宋" w:cs="仿宋"/>
          <w:spacing w:val="-8"/>
          <w:sz w:val="24"/>
          <w:szCs w:val="24"/>
        </w:rPr>
        <w:t>法定代表人或其授权代表未按时参加唱价会议或参加唱价会议未提供有效证明；</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27.1.5</w:t>
      </w:r>
      <w:r>
        <w:rPr>
          <w:rFonts w:hint="eastAsia" w:ascii="仿宋" w:hAnsi="仿宋" w:eastAsia="仿宋" w:cs="仿宋"/>
          <w:spacing w:val="-8"/>
          <w:sz w:val="24"/>
          <w:szCs w:val="24"/>
        </w:rPr>
        <w:t>未按规定缴纳保证金；</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27.1.6</w:t>
      </w:r>
      <w:r>
        <w:rPr>
          <w:rFonts w:hint="eastAsia" w:ascii="仿宋" w:hAnsi="仿宋" w:eastAsia="仿宋" w:cs="仿宋"/>
          <w:spacing w:val="-8"/>
          <w:sz w:val="24"/>
          <w:szCs w:val="24"/>
        </w:rPr>
        <w:t>不符合磋商文件中规定资格条件；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27.1.7</w:t>
      </w:r>
      <w:r>
        <w:rPr>
          <w:rFonts w:hint="eastAsia" w:ascii="仿宋" w:hAnsi="仿宋" w:eastAsia="仿宋" w:cs="仿宋"/>
          <w:spacing w:val="-8"/>
          <w:sz w:val="24"/>
          <w:szCs w:val="24"/>
        </w:rPr>
        <w:t xml:space="preserve">超出经营范围报价；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27.1.8</w:t>
      </w:r>
      <w:r>
        <w:rPr>
          <w:rFonts w:hint="eastAsia" w:ascii="仿宋" w:hAnsi="仿宋" w:eastAsia="仿宋" w:cs="仿宋"/>
          <w:spacing w:val="-8"/>
          <w:sz w:val="24"/>
          <w:szCs w:val="24"/>
        </w:rPr>
        <w:t>响应文件正副本未区分或者内容严重不一致；</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27.1.9</w:t>
      </w:r>
      <w:r>
        <w:rPr>
          <w:rFonts w:hint="eastAsia" w:ascii="仿宋" w:hAnsi="仿宋" w:eastAsia="仿宋" w:cs="仿宋"/>
          <w:spacing w:val="-8"/>
          <w:sz w:val="24"/>
          <w:szCs w:val="24"/>
        </w:rPr>
        <w:t>响应有效期不满足磋商文件要求；</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27.1.10</w:t>
      </w:r>
      <w:r>
        <w:rPr>
          <w:rFonts w:hint="eastAsia" w:ascii="仿宋" w:hAnsi="仿宋" w:eastAsia="仿宋" w:cs="仿宋"/>
          <w:spacing w:val="-8"/>
          <w:sz w:val="24"/>
          <w:szCs w:val="24"/>
        </w:rPr>
        <w:t>无供应商法定代表人或其授权代表签字；</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27.1.11</w:t>
      </w:r>
      <w:r>
        <w:rPr>
          <w:rFonts w:hint="eastAsia" w:ascii="仿宋" w:hAnsi="仿宋" w:eastAsia="仿宋" w:cs="仿宋"/>
          <w:spacing w:val="-8"/>
          <w:sz w:val="24"/>
          <w:szCs w:val="24"/>
        </w:rPr>
        <w:t>联合体未提交联合体协议书；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27.1.12</w:t>
      </w:r>
      <w:r>
        <w:rPr>
          <w:rFonts w:hint="eastAsia" w:ascii="仿宋" w:hAnsi="仿宋" w:eastAsia="仿宋" w:cs="仿宋"/>
          <w:spacing w:val="-8"/>
          <w:sz w:val="24"/>
          <w:szCs w:val="24"/>
        </w:rPr>
        <w:t>响应文件未完全满足磋商文件中带“★”号的条款或指标，或超过磋商文件规定的允许出现负偏差的最大范围、幅度和最高项数；</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27.1.13</w:t>
      </w:r>
      <w:r>
        <w:rPr>
          <w:rFonts w:hint="eastAsia" w:ascii="仿宋" w:hAnsi="仿宋" w:eastAsia="仿宋" w:cs="仿宋"/>
          <w:spacing w:val="-8"/>
          <w:sz w:val="24"/>
          <w:szCs w:val="24"/>
        </w:rPr>
        <w:t>对磋商文件要求的技术参数整体复制粘贴经磋商小组认定与所报服务不符；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27.1.14</w:t>
      </w:r>
      <w:r>
        <w:rPr>
          <w:rFonts w:hint="eastAsia" w:ascii="仿宋" w:hAnsi="仿宋" w:eastAsia="仿宋" w:cs="仿宋"/>
          <w:spacing w:val="-8"/>
          <w:sz w:val="24"/>
          <w:szCs w:val="24"/>
        </w:rPr>
        <w:t>低于成本价且无法提供相关证明材料；</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27.1.15</w:t>
      </w:r>
      <w:r>
        <w:rPr>
          <w:rFonts w:hint="eastAsia" w:ascii="仿宋" w:hAnsi="仿宋" w:eastAsia="仿宋" w:cs="仿宋"/>
          <w:spacing w:val="-8"/>
          <w:sz w:val="24"/>
          <w:szCs w:val="24"/>
        </w:rPr>
        <w:t>磋商小组认定施工方案不符合磋商文件要求；</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27.1.16</w:t>
      </w:r>
      <w:r>
        <w:rPr>
          <w:rFonts w:hint="eastAsia" w:ascii="仿宋" w:hAnsi="仿宋" w:eastAsia="仿宋" w:cs="仿宋"/>
          <w:spacing w:val="-8"/>
          <w:sz w:val="24"/>
          <w:szCs w:val="24"/>
        </w:rPr>
        <w:t>评审期间，没有按磋商小组要求提交经法定代表人或授权代表签字的澄清、说明、补正或改变了响应文件实质性内容；</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27.1.17</w:t>
      </w:r>
      <w:r>
        <w:rPr>
          <w:rFonts w:hint="eastAsia" w:ascii="仿宋" w:hAnsi="仿宋" w:eastAsia="仿宋" w:cs="仿宋"/>
          <w:spacing w:val="-8"/>
          <w:sz w:val="24"/>
          <w:szCs w:val="24"/>
        </w:rPr>
        <w:t>供应商未提交最终报价；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27.1.18</w:t>
      </w:r>
      <w:r>
        <w:rPr>
          <w:rFonts w:hint="eastAsia" w:ascii="仿宋" w:hAnsi="仿宋" w:eastAsia="仿宋" w:cs="仿宋"/>
          <w:spacing w:val="-8"/>
          <w:sz w:val="24"/>
          <w:szCs w:val="24"/>
        </w:rPr>
        <w:t>供应商存在弄虚作假的行为；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27.1.19</w:t>
      </w:r>
      <w:r>
        <w:rPr>
          <w:rFonts w:hint="eastAsia" w:ascii="仿宋" w:hAnsi="仿宋" w:eastAsia="仿宋" w:cs="仿宋"/>
          <w:spacing w:val="-8"/>
          <w:sz w:val="24"/>
          <w:szCs w:val="24"/>
        </w:rPr>
        <w:t>属于采购人与供应商、供应商与供应商相互串通响应情形；</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27.1.20</w:t>
      </w:r>
      <w:r>
        <w:rPr>
          <w:rFonts w:hint="eastAsia" w:ascii="仿宋" w:hAnsi="仿宋" w:eastAsia="仿宋" w:cs="仿宋"/>
          <w:spacing w:val="-8"/>
          <w:sz w:val="24"/>
          <w:szCs w:val="24"/>
        </w:rPr>
        <w:t>对采购人、采购代理机构、磋商小组及其他工作人员施加影响，有碍公平、公正；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27.1.21</w:t>
      </w:r>
      <w:r>
        <w:rPr>
          <w:rFonts w:hint="eastAsia" w:ascii="仿宋" w:hAnsi="仿宋" w:eastAsia="仿宋" w:cs="仿宋"/>
          <w:spacing w:val="-8"/>
          <w:sz w:val="24"/>
          <w:szCs w:val="24"/>
        </w:rPr>
        <w:t>磋商文件规定的其他报价无效情形；</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27.1.22</w:t>
      </w:r>
      <w:r>
        <w:rPr>
          <w:rFonts w:hint="eastAsia" w:ascii="仿宋" w:hAnsi="仿宋" w:eastAsia="仿宋" w:cs="仿宋"/>
          <w:spacing w:val="-8"/>
          <w:sz w:val="24"/>
          <w:szCs w:val="24"/>
        </w:rPr>
        <w:t>法律、法规、规章规定属于报价无效的其他情形。</w:t>
      </w:r>
    </w:p>
    <w:p>
      <w:pPr>
        <w:overflowPunct w:val="0"/>
        <w:autoSpaceDE w:val="0"/>
        <w:snapToGrid w:val="0"/>
        <w:spacing w:line="360" w:lineRule="auto"/>
        <w:ind w:firstLine="448"/>
        <w:rPr>
          <w:rFonts w:ascii="仿宋" w:hAnsi="仿宋" w:eastAsia="仿宋" w:cs="仿宋"/>
        </w:rPr>
      </w:pPr>
      <w:r>
        <w:rPr>
          <w:rFonts w:hint="eastAsia" w:ascii="仿宋" w:hAnsi="仿宋" w:eastAsia="仿宋" w:cs="仿宋"/>
          <w:spacing w:val="-8"/>
          <w:sz w:val="24"/>
          <w:szCs w:val="24"/>
        </w:rPr>
        <w:t>对报价无效的认定，必须经磋商小组集体作出决定并出具报价无效的事实依据，由供应商法定代表人或其授权代表签字确认，拒绝签字的，不影响磋商小组作出的决定。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27.2 采购单位将有效响应文件，送磋商小组进行评审、比较。</w:t>
      </w:r>
    </w:p>
    <w:p>
      <w:pPr>
        <w:pStyle w:val="4"/>
        <w:spacing w:before="0" w:after="0" w:line="360" w:lineRule="auto"/>
        <w:rPr>
          <w:rFonts w:ascii="仿宋" w:hAnsi="仿宋" w:eastAsia="仿宋" w:cs="仿宋"/>
          <w:sz w:val="24"/>
          <w:szCs w:val="24"/>
        </w:rPr>
      </w:pPr>
      <w:bookmarkStart w:id="24" w:name="_Toc535048504"/>
      <w:bookmarkStart w:id="25" w:name="_Toc32386"/>
      <w:bookmarkStart w:id="26" w:name="_Toc16849"/>
      <w:r>
        <w:rPr>
          <w:rFonts w:hint="eastAsia" w:ascii="仿宋" w:hAnsi="仿宋" w:eastAsia="仿宋" w:cs="仿宋"/>
          <w:sz w:val="24"/>
          <w:szCs w:val="24"/>
        </w:rPr>
        <w:t>（六）评审</w:t>
      </w:r>
      <w:bookmarkEnd w:id="24"/>
      <w:bookmarkEnd w:id="25"/>
      <w:bookmarkEnd w:id="26"/>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28．磋商小组与评审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28.1 开标会议结束后进入评审程序，磋商小组由采购单位依法组建，负责评审活动。评审采用保密方式进行，并接受有关行政主管部门的监督。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28.2 磋商小组将依据《中华人民共和国采购法》及相关法律规定由采购单位和有关专家组成。</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28.3磋商小组由采购人代表和评审专家共3人以上单数组成，其中评审专家人数不得少于磋商小组成员总数的2/3。</w:t>
      </w:r>
      <w:r>
        <w:rPr>
          <w:rFonts w:hint="eastAsia" w:ascii="仿宋" w:hAnsi="仿宋" w:eastAsia="仿宋" w:cs="仿宋"/>
          <w:sz w:val="24"/>
          <w:szCs w:val="24"/>
        </w:rPr>
        <w:br w:type="textWrapping"/>
      </w:r>
      <w:r>
        <w:rPr>
          <w:rFonts w:hint="eastAsia" w:ascii="仿宋" w:hAnsi="仿宋" w:eastAsia="仿宋" w:cs="仿宋"/>
          <w:b/>
          <w:spacing w:val="-8"/>
          <w:sz w:val="24"/>
          <w:szCs w:val="24"/>
        </w:rPr>
        <w:t>29．评审过程的保密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29.1开标后，直至授予成交人合同为止，凡属于对响应文件的审查、澄清、评价和比较有关的资料以及成交候选人的推荐情况，与评审有关的其他任何情况均严格保密。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29.2在响应文件的评审和比较、成交候选人推荐以及授予合同的过程中，供应商向采购单位和磋商小组施加影响的任何行为，都将会导致其响应被拒绝。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29.3成交人确定后，采购单位不对未成交的供应商就评审过程以及未成交原因作出任何解释。未成交人不得向磋商小组或其他有关人员索问评审过程的情况和材料。</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30．评审纪律及规定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30.1为了规范评审活动，保证评审的公平、公正，维护采购响应活动当事人的合法权益，依照国家有关法律、法规制定本规定。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30.2评审活动遵循公平、公正、科学、择优的原则依法进行，任何单位和个人不得非法干预或者影响评审过程和结果。</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30.3评审活动应在严格保密的情况下进行，只有依法组建的磋商小组的成员、监督人员、公证人员及经批准的采购单位或者其委托的采购代理单位的有关工作人员参加。其他任何人员不得随意进入评审地点。</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30.4在评审过程中，只有磋商小组的成员享有评审发言权，其他人员不得随意发表意见。</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30.5磋商小组成员应当客观、公正的履行职责，遵守职业道德，对所提出的评审意见承担个人责任。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30.6磋商小组应当根据磋商文件及相关答疑、补充通知规定的评审标准和方法，对响应文件进行系统评审和比较。磋商文件及相关答疑、补充通知中没有规定的标准和方法不得作为评审的依据。</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30.7磋商小组成员不得与任何供应商或者与采购结果有利害关系的人进行私下接触，不得接受供应商、中介人、其他利害关系人的财物或者其他好处。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30.8评审期间，评审人员不得单独出入评审地点、与外界通讯、会客等。</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30.9磋商小组成员和与评审活动有关的工作人员不得透露对响应文件的评审和比较、成交候选人的推荐情况以及与评审有关的其他情况。</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30.10评审结束后，各评标人员应将全部资料整理上交采购单位或者采购代理单位，严禁将评审过程中有关资料向供应商或者其他单位提供。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30.11磋商小组成员在评审过程中擅离职守，影响评审程序正常进行或者在评审过程中不能客观公正的履行职责的，给予警告；情节严重的，取消担任磋商小组的成员资格，不得继续参加依法必须进行采购项目的评审活动，并处一万元以下的罚款；构成犯罪的，报请有关部门依法追究刑事责任。</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31．响应文件的澄清</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31.1 为有助于响应文件的审查、评价和比较，磋商小组可以以书面形式要求供应商对响应文件含义不明确的内容作必要的澄清或说明，供应商应采用书面形式进行澄清或说明，但不得超出响应文件的范围或改变响应文件的实质性内容。根据本须知第34条规定，凡属于磋商小组在评审中发现的计算错误并进行核实的修改不在此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 xml:space="preserve">32．响应文件的初步评审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32.1 开标会议后，经采购单位审查符合有关规定的响应文件，才能提交磋商小组进行评审。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32.2 评审时，磋商小组将首先评定每份响应文件是否在实质上响应了磋商文件的要求。所谓实质上响应，是指响应文件应与磋商文件的所有实质性条款、条件和要求相符，无显著差异或保留，或者对合同中约定的采购单位的权利和供应商的义务方面造成重大的限制，纠正这些显著差异或保留将会对其他实质上响应磋商文件要求的响应文件的供应商的竞争地位产生不公正的影响。</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32.3 如果响应文件实质上不响应磋商文件的各项要求，磋商小组将予以拒绝，并且不允许供应商通过修改或撤销其不符合要求的差异或保留，使之成为具有响应性的采购。</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33．响应文件错误的修正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 磋商小组将对确定为实质上响应磋商文件要求的响应文件进行校核，看其是否有计算、累计或表达上的错误，修正错误的原则如下：</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33.1.1 如果数字表示的金额和用文字表示的金额不一致时，应以文字表示的金额为准；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33.1.2 当单价与工程量的乘积与合价不一致时，以单价为准，除非磋商小组认为单价有明显的小数点错误，此时应以标出的合价为准，并修改单价。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33.2 按上述修正错误的原则及方法调整或修正响应文件的报价，供应商同意后，调整后的报价对供应商起约束作用。如果供应商不接受修正后的报价，则其响应将被拒绝，并且其保证金也将被没收，并不影响评审工作。</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34．响应文件的评审、比较和否决</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34.1 磋商小组将按照本须知第3l条规定，仅对在实质上响应磋商文件要求的响应文件进行评估和比较。</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34.2 在评审过程中，磋商小组可以以书面形式要求供应商就响应文件中含义不明确的内容进行书面说明并提供相关材料。</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34.3 磋商小组依据本须知前附表规定的评审原则和办法，对响应文件进行评审和比较，向采购单位提出书面评审报告，并推荐排名第一的为成交人。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34.4 评审方法</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本工程采用综合评分法，以报价合理、确保服务和工程质量、施工方案切实可行等为评审定标的标准，以打分方式(满分100分)择优确定成交人。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具体评审办法及评分细则详见本磋商文件第五章。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34.5 磋商小组经评审，认为所有响应都不符合磋商文件要求的，可以否决所有响应。所有响应被否决后，采购单位将依法重新采购。</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34.6 根据磋商文件规定的工期和质量要求，能保证达到要求者为有效标书，达不到要求者可视为无效响应。</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34.7 对提供虚假事实骗取成交的供应商，采购单位将取消其成交资格，其保证金将被没收。</w:t>
      </w:r>
    </w:p>
    <w:p>
      <w:pPr>
        <w:pStyle w:val="4"/>
        <w:spacing w:before="0" w:after="0"/>
        <w:rPr>
          <w:rFonts w:ascii="仿宋" w:hAnsi="仿宋" w:eastAsia="仿宋" w:cs="仿宋"/>
          <w:sz w:val="24"/>
          <w:szCs w:val="24"/>
        </w:rPr>
      </w:pPr>
      <w:bookmarkStart w:id="27" w:name="_Toc535048505"/>
      <w:bookmarkStart w:id="28" w:name="_Toc15749"/>
      <w:bookmarkStart w:id="29" w:name="_Toc4118"/>
      <w:r>
        <w:rPr>
          <w:rFonts w:hint="eastAsia" w:ascii="仿宋" w:hAnsi="仿宋" w:eastAsia="仿宋" w:cs="仿宋"/>
          <w:sz w:val="24"/>
          <w:szCs w:val="24"/>
        </w:rPr>
        <w:t>（七）定标</w:t>
      </w:r>
      <w:bookmarkEnd w:id="27"/>
      <w:bookmarkEnd w:id="28"/>
      <w:bookmarkEnd w:id="29"/>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35</w:t>
      </w:r>
      <w:r>
        <w:rPr>
          <w:rFonts w:hint="eastAsia" w:ascii="仿宋" w:hAnsi="仿宋" w:eastAsia="仿宋" w:cs="仿宋"/>
          <w:spacing w:val="-8"/>
          <w:sz w:val="24"/>
          <w:szCs w:val="24"/>
        </w:rPr>
        <w:t>．</w:t>
      </w:r>
      <w:r>
        <w:rPr>
          <w:rFonts w:hint="eastAsia" w:ascii="仿宋" w:hAnsi="仿宋" w:eastAsia="仿宋" w:cs="仿宋"/>
          <w:sz w:val="24"/>
          <w:szCs w:val="24"/>
        </w:rPr>
        <w:t>根据磋商文件确定的评审办法，按综合评审结果进行排序，选取本项目的成交候选人或根据采购单位的授权直接确定成交人</w:t>
      </w:r>
      <w:r>
        <w:rPr>
          <w:rFonts w:hint="eastAsia" w:ascii="仿宋" w:hAnsi="仿宋" w:eastAsia="仿宋" w:cs="仿宋"/>
          <w:spacing w:val="-8"/>
          <w:sz w:val="24"/>
          <w:szCs w:val="24"/>
        </w:rPr>
        <w:t>。</w:t>
      </w:r>
    </w:p>
    <w:p>
      <w:pPr>
        <w:pStyle w:val="4"/>
        <w:spacing w:before="0" w:after="0"/>
        <w:rPr>
          <w:rFonts w:ascii="仿宋" w:hAnsi="仿宋" w:eastAsia="仿宋" w:cs="仿宋"/>
          <w:sz w:val="24"/>
          <w:szCs w:val="24"/>
        </w:rPr>
      </w:pPr>
      <w:bookmarkStart w:id="30" w:name="_Toc535048506"/>
      <w:bookmarkStart w:id="31" w:name="_Toc9304"/>
      <w:bookmarkStart w:id="32" w:name="_Toc11577"/>
      <w:r>
        <w:rPr>
          <w:rFonts w:hint="eastAsia" w:ascii="仿宋" w:hAnsi="仿宋" w:eastAsia="仿宋" w:cs="仿宋"/>
          <w:sz w:val="24"/>
          <w:szCs w:val="24"/>
        </w:rPr>
        <w:t>（八）合同的授予</w:t>
      </w:r>
      <w:bookmarkEnd w:id="30"/>
      <w:bookmarkEnd w:id="31"/>
      <w:bookmarkEnd w:id="32"/>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36．合同授予标准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36.1 合同将授予符合以下条件的供应商：响应文件已被确认，实质上符合磋商文件的要求，具备履行合同的能力，且得分排名第一，已按要求缴纳履约保证金。</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 xml:space="preserve">36.2 采购单位与成交人将于发出成交通知书后30日内，按照磋商文件和成交人的响应文件签订施工合同。采购单位和成交人不得再行订立背离合同实质性内容的其他协议。如因成交人原因造成不能按时签订施工合同的，采购单位有权将合同授予本包号排名第二的成交候选人。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36.3 成交人如不按规定或者不在规定的期限内与采购单位签订合同，则采购单位将有充分的理由废除授标，并没收其保证金，给采购单位造成的损失超过保证金数额的，成交人还应当就超过部分予以赔偿，同时依法承担相应的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36.4成交人应当按照合同约定的履约责任，在保证质量的前提下完成成交项目施工，不得将成交项目转包或分包给他人，否则视为违约，采购单位有权解除合同并没收履约保证金。</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37．采购单位拒绝响应标的权力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37.1 采购单位不承诺将合同授予报价最低的供应商。采购单位在发出成交通知书前，有权依据磋商小组的评审报告拒绝任何不合格的响应。</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38．成交通知书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38.1 确定出成交人后，采购单位将成交结果报采购管理部门，并将成交结果进行公示。公示期内无异议，采购单位将以书面形式通知成交人其响应被接受，同时将成交结果通知所有未成交的供应商。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38.2 成交通知书为合同的组成部分。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39．合同协议书的签订</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39.1 采购单位与成交人将于成交通知书发出之日起30日内，按照磋商文件和成交人的响应文件订立书面工程施工合同。</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39.2 成交人如不按本采购须知第37．1款的规定与采购单位订立合同，则采购单位将废除授标，保证金将不予退还，给采购单位造成的损失超过保证金数额的，还应当对超过部分予以赔偿，同时依法承担相应法律责任。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39.3 成交人应当按照合同约定履行义务，完成成交项目施工，不得将成交项目施工转让(转包)给他人。</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40．纪律与监督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.1 严禁供应商向参与评审工作的有关人员行贿，使其泄露一切与评审工作有关的信息。在评审期间，不得邀请参与评审工作的有关人员到供应商单位参观考察或出席供应商主办的或赞助的任何活动。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.2 供应商在采购过程中严禁互相串通、结盟，损害采购的公正性和竞争性，或以任何方式影响其他供应商参与正当采购的。</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z w:val="24"/>
          <w:szCs w:val="24"/>
        </w:rPr>
        <w:t>40</w:t>
      </w:r>
      <w:r>
        <w:rPr>
          <w:rFonts w:hint="eastAsia" w:ascii="仿宋" w:hAnsi="仿宋" w:eastAsia="仿宋" w:cs="仿宋"/>
          <w:spacing w:val="-8"/>
          <w:sz w:val="24"/>
          <w:szCs w:val="24"/>
        </w:rPr>
        <w:t>.3 如发现供应商有上述不正当竞争行为，将取消其响应资格或成交资格。</w:t>
      </w:r>
    </w:p>
    <w:p>
      <w:pPr>
        <w:overflowPunct w:val="0"/>
        <w:autoSpaceDE w:val="0"/>
        <w:snapToGrid w:val="0"/>
        <w:spacing w:line="360" w:lineRule="auto"/>
        <w:ind w:firstLine="480"/>
        <w:rPr>
          <w:rFonts w:ascii="仿宋" w:hAnsi="仿宋" w:eastAsia="仿宋" w:cs="仿宋"/>
          <w:color w:val="000000" w:themeColor="text1"/>
          <w:spacing w:val="-8"/>
          <w:sz w:val="24"/>
          <w:szCs w:val="24"/>
          <w14:textFill>
            <w14:solidFill>
              <w14:schemeClr w14:val="tx1"/>
            </w14:solidFill>
          </w14:textFill>
        </w:rPr>
      </w:pPr>
    </w:p>
    <w:p>
      <w:pPr>
        <w:widowControl/>
        <w:suppressAutoHyphens w:val="0"/>
        <w:jc w:val="left"/>
        <w:rPr>
          <w:rFonts w:ascii="仿宋" w:hAnsi="仿宋" w:eastAsia="仿宋" w:cs="仿宋"/>
          <w:color w:val="000000" w:themeColor="text1"/>
          <w:sz w:val="4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br w:type="page"/>
      </w:r>
    </w:p>
    <w:p>
      <w:pPr>
        <w:pStyle w:val="3"/>
        <w:spacing w:line="240" w:lineRule="auto"/>
        <w:jc w:val="center"/>
        <w:rPr>
          <w:rFonts w:ascii="仿宋" w:hAnsi="仿宋" w:eastAsia="仿宋" w:cs="仿宋"/>
          <w:b w:val="0"/>
          <w:color w:val="000000" w:themeColor="text1"/>
          <w14:textFill>
            <w14:solidFill>
              <w14:schemeClr w14:val="tx1"/>
            </w14:solidFill>
          </w14:textFill>
        </w:rPr>
      </w:pPr>
      <w:bookmarkStart w:id="33" w:name="_Toc535048507"/>
      <w:bookmarkStart w:id="34" w:name="_Toc27626"/>
      <w:r>
        <w:rPr>
          <w:rFonts w:hint="eastAsia" w:ascii="仿宋" w:hAnsi="仿宋" w:eastAsia="仿宋" w:cs="仿宋"/>
          <w:b w:val="0"/>
          <w:color w:val="000000" w:themeColor="text1"/>
          <w:sz w:val="40"/>
          <w14:textFill>
            <w14:solidFill>
              <w14:schemeClr w14:val="tx1"/>
            </w14:solidFill>
          </w14:textFill>
        </w:rPr>
        <w:t>第二章 供应商应当提交的资格、资信等证明文件</w:t>
      </w:r>
      <w:bookmarkEnd w:id="33"/>
      <w:bookmarkEnd w:id="34"/>
    </w:p>
    <w:p>
      <w:pPr>
        <w:spacing w:line="360" w:lineRule="auto"/>
        <w:ind w:firstLine="451" w:firstLineChars="171"/>
        <w:rPr>
          <w:rFonts w:ascii="仿宋" w:hAnsi="仿宋" w:eastAsia="仿宋" w:cs="仿宋"/>
          <w:spacing w:val="-8"/>
        </w:rPr>
      </w:pPr>
      <w:bookmarkStart w:id="35" w:name="_Toc434614158"/>
      <w:r>
        <w:rPr>
          <w:rFonts w:hint="eastAsia" w:ascii="仿宋" w:hAnsi="仿宋" w:eastAsia="仿宋" w:cs="仿宋"/>
          <w:spacing w:val="-8"/>
        </w:rPr>
        <w:t>1.资格、资信等证明文件目录</w:t>
      </w:r>
      <w:bookmarkEnd w:id="35"/>
    </w:p>
    <w:tbl>
      <w:tblPr>
        <w:tblStyle w:val="17"/>
        <w:tblW w:w="9248" w:type="dxa"/>
        <w:jc w:val="center"/>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13"/>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序号</w:t>
            </w:r>
          </w:p>
        </w:tc>
        <w:tc>
          <w:tcPr>
            <w:tcW w:w="6313"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证明材料名称</w:t>
            </w:r>
          </w:p>
        </w:tc>
        <w:tc>
          <w:tcPr>
            <w:tcW w:w="2318"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提供形式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1</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具有独立承担民事责任的企业或组织合法经营权的凭证（如:营业执照、登记证书、执业许可证等）</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原件或</w:t>
            </w: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在经营活动中没有重大违法记录的书面声明（格式详见磋商文件“第七章 响应文件格式”附件1）</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3</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采购诚信承诺书（格式详见磋商文件“第七章 响应文件格式”附件2）</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4</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sz w:val="24"/>
                <w:szCs w:val="24"/>
              </w:rPr>
              <w:t>通过“信用中国”网站（www.creditchina.gov.cn）查询，未被列入失信被执行人、重大税收违法案件当事人、采购严重违法失信行为记录等名单的。</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原件或</w:t>
            </w: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5</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经审计的财务状况报告或银行出具的有效期内的资信证明</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原件或</w:t>
            </w: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6</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缴纳税收和社会保障资金的相关材料</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原件或</w:t>
            </w: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7</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业绩证明材料</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8</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评标办法中评分所需的其他相关证明材料</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p>
        </w:tc>
      </w:tr>
    </w:tbl>
    <w:p>
      <w:pPr>
        <w:spacing w:line="360" w:lineRule="auto"/>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备注：</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 xml:space="preserve">（1）开标时，供应商应当提交上述证明材料 </w:t>
      </w:r>
      <w:r>
        <w:rPr>
          <w:rFonts w:hint="eastAsia" w:ascii="仿宋" w:hAnsi="仿宋" w:eastAsia="仿宋" w:cs="仿宋"/>
          <w:color w:val="000000" w:themeColor="text1"/>
          <w:spacing w:val="-8"/>
          <w:sz w:val="24"/>
          <w:szCs w:val="24"/>
          <w:u w:val="single"/>
          <w14:textFill>
            <w14:solidFill>
              <w14:schemeClr w14:val="tx1"/>
            </w14:solidFill>
          </w14:textFill>
        </w:rPr>
        <w:t>1-6</w:t>
      </w:r>
      <w:r>
        <w:rPr>
          <w:rFonts w:hint="eastAsia" w:ascii="仿宋" w:hAnsi="仿宋" w:eastAsia="仿宋" w:cs="仿宋"/>
          <w:color w:val="000000" w:themeColor="text1"/>
          <w:spacing w:val="-8"/>
          <w:sz w:val="24"/>
          <w:szCs w:val="24"/>
          <w14:textFill>
            <w14:solidFill>
              <w14:schemeClr w14:val="tx1"/>
            </w14:solidFill>
          </w14:textFill>
        </w:rPr>
        <w:t>项，未提交或提交不全的视为资格性、符合性审查不合格；</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（2）要求提供的证明材料可以是复印件的，需加盖供应商公章。</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3）缴纳税收的证明材料是指供应商税务登记证（或统一社会信用代码营业执照）和参加采购活动前一段时间内缴纳增值税、营业税和企业所得税的凭据。缴纳社会保障资金的证明材料是指参加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pPr>
        <w:spacing w:line="360" w:lineRule="auto"/>
        <w:ind w:firstLine="451" w:firstLineChars="171"/>
        <w:rPr>
          <w:rFonts w:ascii="仿宋" w:hAnsi="仿宋" w:eastAsia="仿宋" w:cs="仿宋"/>
          <w:spacing w:val="-8"/>
        </w:rPr>
      </w:pPr>
      <w:bookmarkStart w:id="36" w:name="_Toc434614159"/>
      <w:r>
        <w:rPr>
          <w:rFonts w:hint="eastAsia" w:ascii="仿宋" w:hAnsi="仿宋" w:eastAsia="仿宋" w:cs="仿宋"/>
          <w:spacing w:val="-8"/>
        </w:rPr>
        <w:t>2.其他规定</w:t>
      </w:r>
      <w:bookmarkEnd w:id="36"/>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2.1供应商的资格证明材料应当真实、有效、完整，字迹、印章要清晰。</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2.2磋商文件中所要求的相关证明资料原件，应当在递交响应文件截止时间前与响应文件一并递交，逾期拒绝接收。</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2.3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2.4营业执照等原件无法提供的，可提供由发证机关出具的证明材料原件或公证处出具的公证书原件。</w:t>
      </w:r>
    </w:p>
    <w:p>
      <w:pPr>
        <w:rPr>
          <w:rFonts w:ascii="仿宋" w:hAnsi="仿宋" w:eastAsia="仿宋" w:cs="仿宋"/>
          <w:color w:val="000000" w:themeColor="text1"/>
          <w:spacing w:val="-8"/>
          <w:sz w:val="24"/>
          <w:szCs w:val="24"/>
          <w14:textFill>
            <w14:solidFill>
              <w14:schemeClr w14:val="tx1"/>
            </w14:solidFill>
          </w14:textFill>
        </w:rPr>
      </w:pPr>
    </w:p>
    <w:p>
      <w:pPr>
        <w:widowControl/>
        <w:suppressAutoHyphens w:val="0"/>
        <w:jc w:val="left"/>
        <w:rPr>
          <w:rFonts w:ascii="仿宋" w:hAnsi="仿宋" w:eastAsia="仿宋" w:cs="仿宋"/>
          <w:color w:val="000000" w:themeColor="text1"/>
          <w:sz w:val="4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br w:type="page"/>
      </w:r>
    </w:p>
    <w:p>
      <w:pPr>
        <w:pStyle w:val="3"/>
        <w:jc w:val="center"/>
        <w:rPr>
          <w:rFonts w:ascii="仿宋" w:hAnsi="仿宋" w:eastAsia="仿宋" w:cs="仿宋"/>
          <w:b w:val="0"/>
          <w:color w:val="000000" w:themeColor="text1"/>
          <w14:textFill>
            <w14:solidFill>
              <w14:schemeClr w14:val="tx1"/>
            </w14:solidFill>
          </w14:textFill>
        </w:rPr>
      </w:pPr>
      <w:bookmarkStart w:id="37" w:name="_Toc9151"/>
      <w:bookmarkStart w:id="38" w:name="_Toc535048508"/>
      <w:r>
        <w:rPr>
          <w:rFonts w:hint="eastAsia" w:ascii="仿宋" w:hAnsi="仿宋" w:eastAsia="仿宋" w:cs="仿宋"/>
          <w:b w:val="0"/>
          <w:color w:val="000000" w:themeColor="text1"/>
          <w14:textFill>
            <w14:solidFill>
              <w14:schemeClr w14:val="tx1"/>
            </w14:solidFill>
          </w14:textFill>
        </w:rPr>
        <w:t>第三章     合同条款</w:t>
      </w:r>
      <w:bookmarkEnd w:id="37"/>
      <w:bookmarkEnd w:id="38"/>
    </w:p>
    <w:p>
      <w:pPr>
        <w:widowControl/>
        <w:spacing w:line="360" w:lineRule="auto"/>
        <w:jc w:val="center"/>
        <w:rPr>
          <w:rFonts w:ascii="仿宋" w:hAnsi="仿宋" w:eastAsia="仿宋" w:cs="仿宋"/>
          <w:color w:val="000000" w:themeColor="text1"/>
          <w:kern w:val="0"/>
          <w:sz w:val="32"/>
          <w:szCs w:val="32"/>
          <w:u w:val="single"/>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山东科技大学</w:t>
      </w:r>
      <w:r>
        <w:rPr>
          <w:rFonts w:hint="eastAsia" w:ascii="仿宋" w:hAnsi="仿宋" w:eastAsia="仿宋" w:cs="仿宋"/>
          <w:color w:val="000000" w:themeColor="text1"/>
          <w:kern w:val="0"/>
          <w:sz w:val="32"/>
          <w:szCs w:val="32"/>
          <w:u w:val="single"/>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工程合同</w:t>
      </w:r>
    </w:p>
    <w:p>
      <w:pPr>
        <w:widowControl/>
        <w:spacing w:line="360" w:lineRule="auto"/>
        <w:jc w:val="left"/>
        <w:rPr>
          <w:rFonts w:ascii="仿宋" w:hAnsi="仿宋" w:eastAsia="仿宋" w:cs="仿宋"/>
          <w:color w:val="000000" w:themeColor="text1"/>
          <w:kern w:val="0"/>
          <w:sz w:val="24"/>
          <w:szCs w:val="24"/>
          <w14:textFill>
            <w14:solidFill>
              <w14:schemeClr w14:val="tx1"/>
            </w14:solidFill>
          </w14:textFill>
        </w:rPr>
      </w:pPr>
    </w:p>
    <w:p>
      <w:pPr>
        <w:widowControl/>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甲方：</w:t>
      </w:r>
      <w:r>
        <w:rPr>
          <w:rFonts w:hint="eastAsia" w:ascii="仿宋" w:hAnsi="仿宋" w:eastAsia="仿宋" w:cs="仿宋"/>
          <w:color w:val="000000" w:themeColor="text1"/>
          <w:kern w:val="0"/>
          <w:sz w:val="24"/>
          <w:szCs w:val="24"/>
          <w:u w:val="single"/>
          <w14:textFill>
            <w14:solidFill>
              <w14:schemeClr w14:val="tx1"/>
            </w14:solidFill>
          </w14:textFill>
        </w:rPr>
        <w:t xml:space="preserve"> 山东科技大学  </w:t>
      </w:r>
      <w:r>
        <w:rPr>
          <w:rFonts w:hint="eastAsia" w:ascii="仿宋" w:hAnsi="仿宋" w:eastAsia="仿宋" w:cs="仿宋"/>
          <w:color w:val="000000" w:themeColor="text1"/>
          <w:kern w:val="0"/>
          <w:sz w:val="24"/>
          <w:szCs w:val="24"/>
          <w14:textFill>
            <w14:solidFill>
              <w14:schemeClr w14:val="tx1"/>
            </w14:solidFill>
          </w14:textFill>
        </w:rPr>
        <w:t>（以下简称甲方）</w:t>
      </w:r>
    </w:p>
    <w:p>
      <w:pPr>
        <w:widowControl/>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乙方：</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（以下简称乙方）</w:t>
      </w:r>
    </w:p>
    <w:p>
      <w:pPr>
        <w:widowControl/>
        <w:spacing w:before="120" w:beforeLines="50" w:line="360" w:lineRule="auto"/>
        <w:ind w:firstLine="480" w:firstLineChars="200"/>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依照《中华人民共和国合同法》、《中华人民共和国建筑法》及其他法律、法规，遵循平等、自愿、公平和诚实信用的原则，双方就</w:t>
      </w:r>
      <w:r>
        <w:rPr>
          <w:rFonts w:hint="eastAsia" w:ascii="仿宋" w:hAnsi="仿宋" w:eastAsia="仿宋" w:cs="仿宋"/>
          <w:color w:val="000000" w:themeColor="text1"/>
          <w:kern w:val="0"/>
          <w:sz w:val="24"/>
          <w:szCs w:val="24"/>
          <w:u w:val="single"/>
          <w14:textFill>
            <w14:solidFill>
              <w14:schemeClr w14:val="tx1"/>
            </w14:solidFill>
          </w14:textFill>
        </w:rPr>
        <w:t>山东科技大学             工程</w:t>
      </w:r>
      <w:r>
        <w:rPr>
          <w:rFonts w:hint="eastAsia" w:ascii="仿宋" w:hAnsi="仿宋" w:eastAsia="仿宋" w:cs="仿宋"/>
          <w:color w:val="000000" w:themeColor="text1"/>
          <w:kern w:val="0"/>
          <w:sz w:val="24"/>
          <w:szCs w:val="24"/>
          <w14:textFill>
            <w14:solidFill>
              <w14:schemeClr w14:val="tx1"/>
            </w14:solidFill>
          </w14:textFill>
        </w:rPr>
        <w:t>有关事项协商一致，签订本合同，共同遵守。</w:t>
      </w:r>
    </w:p>
    <w:p>
      <w:pPr>
        <w:numPr>
          <w:ilvl w:val="0"/>
          <w:numId w:val="1"/>
        </w:numPr>
        <w:tabs>
          <w:tab w:val="clear" w:pos="720"/>
        </w:tabs>
        <w:snapToGrid w:val="0"/>
        <w:spacing w:line="276" w:lineRule="auto"/>
        <w:ind w:left="0" w:firstLine="5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工程名称： </w:t>
      </w:r>
    </w:p>
    <w:p>
      <w:pPr>
        <w:numPr>
          <w:ilvl w:val="0"/>
          <w:numId w:val="1"/>
        </w:numPr>
        <w:tabs>
          <w:tab w:val="clear" w:pos="720"/>
        </w:tabs>
        <w:snapToGrid w:val="0"/>
        <w:spacing w:line="276" w:lineRule="auto"/>
        <w:ind w:left="0" w:firstLine="5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承包方式：包工包料。</w:t>
      </w:r>
    </w:p>
    <w:p>
      <w:pPr>
        <w:numPr>
          <w:ilvl w:val="0"/>
          <w:numId w:val="1"/>
        </w:numPr>
        <w:tabs>
          <w:tab w:val="clear" w:pos="720"/>
        </w:tabs>
        <w:snapToGrid w:val="0"/>
        <w:spacing w:line="276" w:lineRule="auto"/>
        <w:ind w:left="0" w:firstLine="5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工程内容及价格：</w:t>
      </w:r>
    </w:p>
    <w:tbl>
      <w:tblPr>
        <w:tblStyle w:val="17"/>
        <w:tblW w:w="9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561"/>
        <w:gridCol w:w="600"/>
        <w:gridCol w:w="660"/>
        <w:gridCol w:w="458"/>
        <w:gridCol w:w="865"/>
        <w:gridCol w:w="936"/>
        <w:gridCol w:w="936"/>
        <w:gridCol w:w="661"/>
        <w:gridCol w:w="661"/>
        <w:gridCol w:w="661"/>
        <w:gridCol w:w="620"/>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工程分</w:t>
            </w:r>
          </w:p>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项名称</w:t>
            </w:r>
          </w:p>
        </w:tc>
        <w:tc>
          <w:tcPr>
            <w:tcW w:w="5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工程内容</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综合</w:t>
            </w:r>
          </w:p>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单价(元)</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小计</w:t>
            </w:r>
          </w:p>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（元）</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分项合</w:t>
            </w:r>
          </w:p>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计（元）</w:t>
            </w:r>
          </w:p>
        </w:tc>
        <w:tc>
          <w:tcPr>
            <w:tcW w:w="26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工程主材情况</w:t>
            </w:r>
          </w:p>
        </w:tc>
        <w:tc>
          <w:tcPr>
            <w:tcW w:w="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主材名称</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品牌</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规格型号</w:t>
            </w: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产地</w:t>
            </w:r>
          </w:p>
        </w:tc>
        <w:tc>
          <w:tcPr>
            <w:tcW w:w="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ind w:left="10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90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总计</w:t>
            </w: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bl>
    <w:p>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一、上表项目内容及单价中标人与立项监管部门不得随意协商变更，如有特殊情况立项监管部门要写明原因经部门领导签字，甲方组织有关部门论证定价后方可实施。</w:t>
      </w:r>
    </w:p>
    <w:p>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二、暂列金根据实际发生数量据实结算。工程施工中如发生上表中未明确列明价格项目，从暂列金中列支，但内容及价格需经甲方书面同意后方可实施，但总价不得超出上表中暂列金总价。</w:t>
      </w:r>
    </w:p>
    <w:p>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上表其余单价为工程竣工验收合格综合结算价，包括材料费、人工费、管理费、税金等所有施工结算中发生的各种费用。不再计取其他任何费用。工程总价根据实际发生数量经审计后据实结算，但结算总价不得超出控制价(金额大写),在控制价内结算总价不得超出合同总价(不含暂列金)的10%。未经甲方事先书面同意，超出部分视为乙方免费赠送，不予结算。</w:t>
      </w:r>
    </w:p>
    <w:p>
      <w:pPr>
        <w:widowControl/>
        <w:spacing w:line="360" w:lineRule="auto"/>
        <w:ind w:firstLine="482"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第四条   工期：</w:t>
      </w:r>
      <w:r>
        <w:rPr>
          <w:rFonts w:hint="eastAsia" w:ascii="仿宋" w:hAnsi="仿宋" w:eastAsia="仿宋" w:cs="仿宋"/>
          <w:color w:val="000000" w:themeColor="text1"/>
          <w:kern w:val="0"/>
          <w:sz w:val="24"/>
          <w:szCs w:val="24"/>
          <w14:textFill>
            <w14:solidFill>
              <w14:schemeClr w14:val="tx1"/>
            </w14:solidFill>
          </w14:textFill>
        </w:rPr>
        <w:t>自合同签订日起</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个工作日内完成。自通过交工验收之日起</w:t>
      </w:r>
      <w:r>
        <w:rPr>
          <w:rFonts w:hint="eastAsia" w:ascii="仿宋" w:hAnsi="仿宋" w:eastAsia="仿宋" w:cs="仿宋"/>
          <w:color w:val="000000" w:themeColor="text1"/>
          <w:kern w:val="0"/>
          <w:sz w:val="24"/>
          <w:szCs w:val="24"/>
          <w:u w:val="single"/>
          <w14:textFill>
            <w14:solidFill>
              <w14:schemeClr w14:val="tx1"/>
            </w14:solidFill>
          </w14:textFill>
        </w:rPr>
        <w:t xml:space="preserve"> 壹 </w:t>
      </w:r>
      <w:r>
        <w:rPr>
          <w:rFonts w:hint="eastAsia" w:ascii="仿宋" w:hAnsi="仿宋" w:eastAsia="仿宋" w:cs="仿宋"/>
          <w:color w:val="000000" w:themeColor="text1"/>
          <w:kern w:val="0"/>
          <w:sz w:val="24"/>
          <w:szCs w:val="24"/>
          <w14:textFill>
            <w14:solidFill>
              <w14:schemeClr w14:val="tx1"/>
            </w14:solidFill>
          </w14:textFill>
        </w:rPr>
        <w:t>年为工程质量缺陷责任期。</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第五条  工程质量及验收标准和依据</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以项目实施方案、甲方或其代表以书面形式批准的变更通知或施工指导意见、国家颁发的相关施工技术、验收规范、质量检验标准及有关规定为依据进行验收，工程质量等级为</w:t>
      </w:r>
      <w:r>
        <w:rPr>
          <w:rFonts w:hint="eastAsia" w:ascii="仿宋" w:hAnsi="仿宋" w:eastAsia="仿宋" w:cs="仿宋"/>
          <w:color w:val="000000" w:themeColor="text1"/>
          <w:kern w:val="0"/>
          <w:sz w:val="24"/>
          <w:szCs w:val="24"/>
          <w:u w:val="single"/>
          <w14:textFill>
            <w14:solidFill>
              <w14:schemeClr w14:val="tx1"/>
            </w14:solidFill>
          </w14:textFill>
        </w:rPr>
        <w:t xml:space="preserve"> 合格 </w:t>
      </w:r>
      <w:r>
        <w:rPr>
          <w:rFonts w:hint="eastAsia" w:ascii="仿宋" w:hAnsi="仿宋" w:eastAsia="仿宋" w:cs="仿宋"/>
          <w:color w:val="000000" w:themeColor="text1"/>
          <w:kern w:val="0"/>
          <w:sz w:val="24"/>
          <w:szCs w:val="24"/>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第六条  甲方主要义务</w:t>
      </w:r>
    </w:p>
    <w:p>
      <w:pPr>
        <w:widowControl/>
        <w:tabs>
          <w:tab w:val="left" w:pos="425"/>
        </w:tabs>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一）提供本工程相关的供配电等能源系统相关资料；大楼能源系统的相关管理制度；建筑基本资料信息（含建筑面积、建筑内各用能部门面积、楼层信息、人员数量等信息）；单位及部门资料信息（含部门人数、使用的建筑面积等信息）以及各种用能设备统计表。 </w:t>
      </w:r>
    </w:p>
    <w:p>
      <w:pPr>
        <w:widowControl/>
        <w:tabs>
          <w:tab w:val="left" w:pos="425"/>
        </w:tabs>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（二）协助乙方办理施工过程中所需的出入证，并与各相关单位进行协调。</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（三）及时协调施工时的停电工作。</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（四）检查和监督乙方的施工管理、施工质量、进度以及安全生产。</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（五）及时组织项目验收，按本合同第五条及时支付工程款。</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（六）提供网络通道以便乙方进行远程在线诊断服务。</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（七）配合软件数据关系配置。</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第七条  乙方主要义务</w:t>
      </w:r>
    </w:p>
    <w:p>
      <w:pPr>
        <w:widowControl/>
        <w:spacing w:line="360" w:lineRule="auto"/>
        <w:ind w:firstLine="540" w:firstLineChars="225"/>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w:t>
      </w:r>
      <w:r>
        <w:rPr>
          <w:rFonts w:hint="eastAsia" w:ascii="仿宋" w:hAnsi="仿宋" w:eastAsia="仿宋" w:cs="仿宋"/>
          <w:color w:val="000000" w:themeColor="text1"/>
          <w:sz w:val="24"/>
          <w:szCs w:val="24"/>
          <w14:textFill>
            <w14:solidFill>
              <w14:schemeClr w14:val="tx1"/>
            </w14:solidFill>
          </w14:textFill>
        </w:rPr>
        <w:t>按项目实施方案和有关工程施工技术规范以及甲方代表或监理的要求，按时完成示范工程建设。</w:t>
      </w:r>
    </w:p>
    <w:p>
      <w:pPr>
        <w:widowControl/>
        <w:spacing w:line="360" w:lineRule="auto"/>
        <w:ind w:firstLine="475" w:firstLineChars="198"/>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（二）施工期间服从甲方代表的现场管理，并接受甲方的监督、检查和验收，采取切实可行的措施，确保按期完成甲方委托的施工任务，并保证达到甲方要求的工程质量等级。</w:t>
      </w:r>
    </w:p>
    <w:p>
      <w:pPr>
        <w:widowControl/>
        <w:spacing w:line="360" w:lineRule="auto"/>
        <w:ind w:left="2" w:firstLine="477" w:firstLineChars="199"/>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（三）应有完备的原材料及施工自检资料，报验资料及时报甲方审核。工程结束后按甲方要求提交竣工图纸及相关资料和决算（一式</w:t>
      </w:r>
      <w:r>
        <w:rPr>
          <w:rFonts w:hint="eastAsia" w:ascii="仿宋" w:hAnsi="仿宋" w:eastAsia="仿宋" w:cs="仿宋"/>
          <w:color w:val="000000" w:themeColor="text1"/>
          <w:sz w:val="24"/>
          <w:szCs w:val="24"/>
          <w:u w:val="single"/>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份）及其相应的电子文档</w:t>
      </w:r>
      <w:r>
        <w:rPr>
          <w:rFonts w:hint="eastAsia" w:ascii="仿宋" w:hAnsi="仿宋" w:eastAsia="仿宋" w:cs="仿宋"/>
          <w:color w:val="000000" w:themeColor="text1"/>
          <w:sz w:val="24"/>
          <w:szCs w:val="24"/>
          <w:u w:val="single"/>
          <w14:textFill>
            <w14:solidFill>
              <w14:schemeClr w14:val="tx1"/>
            </w14:solidFill>
          </w14:textFill>
        </w:rPr>
        <w:t xml:space="preserve"> 壹 </w:t>
      </w:r>
      <w:r>
        <w:rPr>
          <w:rFonts w:hint="eastAsia" w:ascii="仿宋" w:hAnsi="仿宋" w:eastAsia="仿宋" w:cs="仿宋"/>
          <w:color w:val="000000" w:themeColor="text1"/>
          <w:sz w:val="24"/>
          <w:szCs w:val="24"/>
          <w14:textFill>
            <w14:solidFill>
              <w14:schemeClr w14:val="tx1"/>
            </w14:solidFill>
          </w14:textFill>
        </w:rPr>
        <w:t>份，并配合甲方进行示范工程验收。</w:t>
      </w:r>
    </w:p>
    <w:p>
      <w:pPr>
        <w:widowControl/>
        <w:spacing w:line="360" w:lineRule="auto"/>
        <w:ind w:left="2" w:firstLine="477" w:firstLineChars="199"/>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严格遵守工程建设安全生产的有关规定，严格按照安全标准施工，采取必要的安全防护措施并对施工人员进行安全生产教育和管理；健全组织制度，指定主要领导负责安全工作，确保作业人员和车辆、设备的安全。</w:t>
      </w:r>
    </w:p>
    <w:p>
      <w:pPr>
        <w:widowControl/>
        <w:spacing w:line="360" w:lineRule="auto"/>
        <w:ind w:left="2" w:firstLine="477" w:firstLineChars="199"/>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（五）交工验收前认真做好已完工程的保护工作，以及壹年工程质量缺陷期内工程缺陷的修复工作，所发生的费用由乙方承担。</w:t>
      </w:r>
    </w:p>
    <w:p>
      <w:pPr>
        <w:widowControl/>
        <w:spacing w:line="360" w:lineRule="auto"/>
        <w:ind w:left="2" w:firstLine="477" w:firstLineChars="199"/>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（六）项目竣工15日内组织验收。</w:t>
      </w:r>
    </w:p>
    <w:p>
      <w:pPr>
        <w:widowControl/>
        <w:spacing w:line="360" w:lineRule="auto"/>
        <w:ind w:left="2" w:firstLine="477" w:firstLineChars="199"/>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（七）验收合格后在乙方提交合格决算资料30日内完成审计工作。</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第八条  合同金额及付款方式</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（一）本合同总价计人民币（大写）</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元（</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元）。</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（二）工程量发生增减时，按实际发生增减</w:t>
      </w:r>
      <w:r>
        <w:rPr>
          <w:rFonts w:hint="eastAsia" w:ascii="仿宋" w:hAnsi="仿宋" w:eastAsia="仿宋" w:cs="仿宋"/>
          <w:color w:val="000000" w:themeColor="text1"/>
          <w:sz w:val="24"/>
          <w:szCs w:val="24"/>
          <w14:textFill>
            <w14:solidFill>
              <w14:schemeClr w14:val="tx1"/>
            </w14:solidFill>
          </w14:textFill>
        </w:rPr>
        <w:t>。</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w:t>
      </w:r>
      <w:r>
        <w:rPr>
          <w:rFonts w:hint="eastAsia" w:ascii="仿宋" w:hAnsi="仿宋" w:eastAsia="仿宋" w:cs="仿宋"/>
          <w:color w:val="000000" w:themeColor="text1"/>
          <w:sz w:val="24"/>
          <w14:textFill>
            <w14:solidFill>
              <w14:schemeClr w14:val="tx1"/>
            </w14:solidFill>
          </w14:textFill>
        </w:rPr>
        <w:t>付款方式：</w:t>
      </w:r>
      <w:r>
        <w:rPr>
          <w:rFonts w:ascii="仿宋" w:hAnsi="仿宋" w:eastAsia="仿宋" w:cs="仿宋"/>
          <w:color w:val="000000" w:themeColor="text1"/>
          <w:sz w:val="24"/>
          <w14:textFill>
            <w14:solidFill>
              <w14:schemeClr w14:val="tx1"/>
            </w14:solidFill>
          </w14:textFill>
        </w:rPr>
        <w:t xml:space="preserve"> </w:t>
      </w:r>
    </w:p>
    <w:p>
      <w:pPr>
        <w:widowControl/>
        <w:spacing w:line="360" w:lineRule="auto"/>
        <w:ind w:left="1358" w:leftChars="228" w:hanging="720" w:hangingChars="3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第九条  工程保修期</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第十条  违约责任</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（一）因甲方原因导致工程延误，每逾期一天，按工程未完工程量造价的</w:t>
      </w:r>
      <w:r>
        <w:rPr>
          <w:rFonts w:hint="eastAsia" w:ascii="仿宋" w:hAnsi="仿宋" w:eastAsia="仿宋" w:cs="仿宋"/>
          <w:color w:val="000000" w:themeColor="text1"/>
          <w:kern w:val="0"/>
          <w:sz w:val="24"/>
          <w:szCs w:val="24"/>
          <w:u w:val="single"/>
          <w14:textFill>
            <w14:solidFill>
              <w14:schemeClr w14:val="tx1"/>
            </w14:solidFill>
          </w14:textFill>
        </w:rPr>
        <w:t xml:space="preserve"> 1 </w:t>
      </w:r>
      <w:r>
        <w:rPr>
          <w:rFonts w:hint="eastAsia" w:ascii="仿宋" w:hAnsi="仿宋" w:eastAsia="仿宋" w:cs="仿宋"/>
          <w:color w:val="000000" w:themeColor="text1"/>
          <w:kern w:val="0"/>
          <w:sz w:val="24"/>
          <w:szCs w:val="24"/>
          <w14:textFill>
            <w14:solidFill>
              <w14:schemeClr w14:val="tx1"/>
            </w14:solidFill>
          </w14:textFill>
        </w:rPr>
        <w:t>‰计算违约金，违约金最多不超过工程造价的1%，或工期顺延。</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（二）乙方未按合同规定的时间交工，每逾期一天，按工程未完工程量造价的</w:t>
      </w:r>
      <w:r>
        <w:rPr>
          <w:rFonts w:hint="eastAsia" w:ascii="仿宋" w:hAnsi="仿宋" w:eastAsia="仿宋" w:cs="仿宋"/>
          <w:color w:val="000000" w:themeColor="text1"/>
          <w:kern w:val="0"/>
          <w:sz w:val="24"/>
          <w:szCs w:val="24"/>
          <w:u w:val="single"/>
          <w14:textFill>
            <w14:solidFill>
              <w14:schemeClr w14:val="tx1"/>
            </w14:solidFill>
          </w14:textFill>
        </w:rPr>
        <w:t xml:space="preserve"> 1 </w:t>
      </w:r>
      <w:r>
        <w:rPr>
          <w:rFonts w:hint="eastAsia" w:ascii="仿宋" w:hAnsi="仿宋" w:eastAsia="仿宋" w:cs="仿宋"/>
          <w:color w:val="000000" w:themeColor="text1"/>
          <w:kern w:val="0"/>
          <w:sz w:val="24"/>
          <w:szCs w:val="24"/>
          <w14:textFill>
            <w14:solidFill>
              <w14:schemeClr w14:val="tx1"/>
            </w14:solidFill>
          </w14:textFill>
        </w:rPr>
        <w:t>‰计算违约金，违约金最多不超过工程造价的1%。</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（三）因乙方原因致使工程施工质量不符合国家有关规范标准或不符合双方约定标准，乙方负责返工，费用自理。                       </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第十一条   不可抗力</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（一）当事人一方因不可抗力不能履行合同的，应当及时通知对方，并应当积极采取措施以减轻或消除可能给对方造成的损失，并应当在事件结束后</w:t>
      </w:r>
      <w:r>
        <w:rPr>
          <w:rFonts w:hint="eastAsia" w:ascii="仿宋" w:hAnsi="仿宋" w:eastAsia="仿宋" w:cs="仿宋"/>
          <w:color w:val="000000" w:themeColor="text1"/>
          <w:kern w:val="0"/>
          <w:sz w:val="24"/>
          <w:szCs w:val="24"/>
          <w:u w:val="single"/>
          <w14:textFill>
            <w14:solidFill>
              <w14:schemeClr w14:val="tx1"/>
            </w14:solidFill>
          </w14:textFill>
        </w:rPr>
        <w:t xml:space="preserve"> 20 </w:t>
      </w:r>
      <w:r>
        <w:rPr>
          <w:rFonts w:hint="eastAsia" w:ascii="仿宋" w:hAnsi="仿宋" w:eastAsia="仿宋" w:cs="仿宋"/>
          <w:color w:val="000000" w:themeColor="text1"/>
          <w:kern w:val="0"/>
          <w:sz w:val="24"/>
          <w:szCs w:val="24"/>
          <w14:textFill>
            <w14:solidFill>
              <w14:schemeClr w14:val="tx1"/>
            </w14:solidFill>
          </w14:textFill>
        </w:rPr>
        <w:t>天内提供有力证明。</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（二）因不可抗力不能履行合同的，根据不可抗力的影响，部分或者全部（由双方协商确定）免除责任，但法律另有规定的除外。当事人迟延履行后发生不可抗力的，不能免除责任。</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（三）因不可抗力使合同不能如期履行时，由双方协商确定是否延期履行或终止本合同。</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第十二条 合同组成部分</w:t>
      </w:r>
    </w:p>
    <w:p>
      <w:pPr>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1、</w:t>
      </w:r>
      <w:r>
        <w:rPr>
          <w:rFonts w:hint="eastAsia" w:ascii="仿宋" w:hAnsi="仿宋" w:eastAsia="仿宋" w:cs="仿宋"/>
          <w:color w:val="000000" w:themeColor="text1"/>
          <w:kern w:val="0"/>
          <w:sz w:val="24"/>
          <w:szCs w:val="24"/>
          <w:lang w:eastAsia="zh-CN"/>
          <w14:textFill>
            <w14:solidFill>
              <w14:schemeClr w14:val="tx1"/>
            </w14:solidFill>
          </w14:textFill>
        </w:rPr>
        <w:t>磋商文件</w:t>
      </w:r>
      <w:bookmarkStart w:id="54" w:name="_GoBack"/>
      <w:bookmarkEnd w:id="54"/>
      <w:r>
        <w:rPr>
          <w:rFonts w:hint="eastAsia" w:ascii="仿宋" w:hAnsi="仿宋" w:eastAsia="仿宋" w:cs="仿宋"/>
          <w:color w:val="000000" w:themeColor="text1"/>
          <w:kern w:val="0"/>
          <w:sz w:val="24"/>
          <w:szCs w:val="24"/>
          <w14:textFill>
            <w14:solidFill>
              <w14:schemeClr w14:val="tx1"/>
            </w14:solidFill>
          </w14:textFill>
        </w:rPr>
        <w:t xml:space="preserve">；2、响应文件；3、与此项目相关的其他书面资料。 </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第十三条  争议的解决</w:t>
      </w:r>
    </w:p>
    <w:p>
      <w:pPr>
        <w:pStyle w:val="8"/>
        <w:spacing w:before="50" w:line="300" w:lineRule="auto"/>
        <w:ind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双方对本合同产生争议的，由双方本着互利互惠的原则友好协商解决，协商解决不成的，可以向青岛市仲裁委员会申请仲裁；仲裁未果时，再向人民法院提起诉讼。</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第十四条  合同生效及其它</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（一）本合同经双方法人代表或授权人签字并加盖公章后生效，至全部工程完工后经交工验收合格以及缺陷责任期满后失效。</w:t>
      </w:r>
    </w:p>
    <w:p>
      <w:pPr>
        <w:widowControl/>
        <w:spacing w:line="360" w:lineRule="auto"/>
        <w:ind w:firstLine="540" w:firstLineChars="225"/>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（二）本合同一式</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份，甲方执</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份，乙方执</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份。其他未尽事宜，双方友好协商解决。</w:t>
      </w:r>
    </w:p>
    <w:p>
      <w:pPr>
        <w:widowControl/>
        <w:spacing w:line="360" w:lineRule="auto"/>
        <w:ind w:firstLine="540" w:firstLineChars="225"/>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（三）乙方开户银行：</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；账号：</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w:t>
      </w:r>
    </w:p>
    <w:p>
      <w:pPr>
        <w:widowControl/>
        <w:spacing w:line="360" w:lineRule="auto"/>
        <w:ind w:firstLine="1260" w:firstLineChars="525"/>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附件：响应报价</w:t>
      </w:r>
    </w:p>
    <w:p>
      <w:pPr>
        <w:widowControl/>
        <w:spacing w:line="360" w:lineRule="auto"/>
        <w:ind w:left="720" w:hanging="720" w:hangingChars="300"/>
        <w:jc w:val="left"/>
        <w:rPr>
          <w:rFonts w:ascii="仿宋" w:hAnsi="仿宋" w:eastAsia="仿宋" w:cs="仿宋"/>
          <w:color w:val="000000" w:themeColor="text1"/>
          <w:kern w:val="0"/>
          <w:sz w:val="24"/>
          <w:szCs w:val="24"/>
          <w14:textFill>
            <w14:solidFill>
              <w14:schemeClr w14:val="tx1"/>
            </w14:solidFill>
          </w14:textFill>
        </w:rPr>
      </w:pPr>
    </w:p>
    <w:p>
      <w:pPr>
        <w:widowControl/>
        <w:spacing w:line="360" w:lineRule="auto"/>
        <w:ind w:left="720" w:hanging="720" w:hangingChars="300"/>
        <w:jc w:val="left"/>
        <w:rPr>
          <w:rFonts w:ascii="仿宋" w:hAnsi="仿宋" w:eastAsia="仿宋" w:cs="仿宋"/>
          <w:color w:val="000000" w:themeColor="text1"/>
          <w:kern w:val="0"/>
          <w:sz w:val="24"/>
          <w:szCs w:val="24"/>
          <w14:textFill>
            <w14:solidFill>
              <w14:schemeClr w14:val="tx1"/>
            </w14:solidFill>
          </w14:textFill>
        </w:rPr>
      </w:pPr>
    </w:p>
    <w:p>
      <w:pPr>
        <w:widowControl/>
        <w:spacing w:line="360" w:lineRule="auto"/>
        <w:ind w:left="720" w:hanging="720" w:hangingChars="3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甲方：</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（签章）</w:t>
      </w:r>
    </w:p>
    <w:p>
      <w:pPr>
        <w:widowControl/>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法定代表人或授权人（签字）：</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spacing w:line="360" w:lineRule="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日       期：</w:t>
      </w:r>
      <w:r>
        <w:rPr>
          <w:rFonts w:hint="eastAsia" w:ascii="仿宋" w:hAnsi="仿宋" w:eastAsia="仿宋" w:cs="仿宋"/>
          <w:color w:val="000000" w:themeColor="text1"/>
          <w:kern w:val="0"/>
          <w:sz w:val="24"/>
          <w:szCs w:val="24"/>
          <w:u w:val="single"/>
          <w14:textFill>
            <w14:solidFill>
              <w14:schemeClr w14:val="tx1"/>
            </w14:solidFill>
          </w14:textFill>
        </w:rPr>
        <w:t xml:space="preserve">                        </w:t>
      </w:r>
    </w:p>
    <w:p>
      <w:pPr>
        <w:widowControl/>
        <w:spacing w:line="360" w:lineRule="auto"/>
        <w:rPr>
          <w:rFonts w:ascii="仿宋" w:hAnsi="仿宋" w:eastAsia="仿宋" w:cs="仿宋"/>
          <w:color w:val="000000" w:themeColor="text1"/>
          <w:kern w:val="0"/>
          <w:sz w:val="24"/>
          <w:szCs w:val="24"/>
          <w:u w:val="single"/>
          <w14:textFill>
            <w14:solidFill>
              <w14:schemeClr w14:val="tx1"/>
            </w14:solidFill>
          </w14:textFill>
        </w:rPr>
      </w:pPr>
    </w:p>
    <w:p>
      <w:pPr>
        <w:widowControl/>
        <w:spacing w:line="360" w:lineRule="auto"/>
        <w:rPr>
          <w:rFonts w:ascii="仿宋" w:hAnsi="仿宋" w:eastAsia="仿宋" w:cs="仿宋"/>
          <w:color w:val="000000" w:themeColor="text1"/>
          <w:kern w:val="0"/>
          <w:sz w:val="24"/>
          <w:szCs w:val="24"/>
          <w:u w:val="single"/>
          <w14:textFill>
            <w14:solidFill>
              <w14:schemeClr w14:val="tx1"/>
            </w14:solidFill>
          </w14:textFill>
        </w:rPr>
      </w:pPr>
    </w:p>
    <w:p>
      <w:pPr>
        <w:widowControl/>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乙方：</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（签章）</w:t>
      </w:r>
    </w:p>
    <w:p>
      <w:pPr>
        <w:widowControl/>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法定代表人或授权人（签字）：</w:t>
      </w:r>
      <w:r>
        <w:rPr>
          <w:rFonts w:hint="eastAsia" w:ascii="仿宋" w:hAnsi="仿宋" w:eastAsia="仿宋" w:cs="仿宋"/>
          <w:color w:val="000000" w:themeColor="text1"/>
          <w:kern w:val="0"/>
          <w:sz w:val="24"/>
          <w:szCs w:val="24"/>
          <w:u w:val="single"/>
          <w14:textFill>
            <w14:solidFill>
              <w14:schemeClr w14:val="tx1"/>
            </w14:solidFill>
          </w14:textFill>
        </w:rPr>
        <w:t xml:space="preserve">             </w:t>
      </w:r>
    </w:p>
    <w:p>
      <w:pPr>
        <w:widowControl/>
        <w:spacing w:line="360" w:lineRule="auto"/>
        <w:jc w:val="left"/>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日       期：</w:t>
      </w:r>
      <w:r>
        <w:rPr>
          <w:rFonts w:hint="eastAsia" w:ascii="仿宋" w:hAnsi="仿宋" w:eastAsia="仿宋" w:cs="仿宋"/>
          <w:color w:val="000000" w:themeColor="text1"/>
          <w:kern w:val="0"/>
          <w:sz w:val="24"/>
          <w:szCs w:val="24"/>
          <w:u w:val="single"/>
          <w14:textFill>
            <w14:solidFill>
              <w14:schemeClr w14:val="tx1"/>
            </w14:solidFill>
          </w14:textFill>
        </w:rPr>
        <w:t xml:space="preserve">                       </w:t>
      </w:r>
    </w:p>
    <w:p>
      <w:pPr>
        <w:pStyle w:val="15"/>
        <w:spacing w:before="0" w:after="0" w:line="360" w:lineRule="auto"/>
        <w:ind w:firstLine="1120" w:firstLineChars="400"/>
        <w:jc w:val="left"/>
        <w:rPr>
          <w:rFonts w:hint="eastAsia" w:ascii="仿宋" w:hAnsi="仿宋" w:eastAsia="仿宋" w:cs="仿宋"/>
          <w:b w:val="0"/>
          <w:bCs w:val="0"/>
          <w:color w:val="000000" w:themeColor="text1"/>
          <w:kern w:val="1"/>
          <w:sz w:val="44"/>
          <w:szCs w:val="20"/>
          <w14:textFill>
            <w14:solidFill>
              <w14:schemeClr w14:val="tx1"/>
            </w14:solidFill>
          </w14:textFill>
        </w:rPr>
      </w:pPr>
      <w:r>
        <w:rPr>
          <w:rFonts w:hint="eastAsia" w:ascii="仿宋" w:hAnsi="仿宋" w:eastAsia="仿宋" w:cs="仿宋"/>
          <w:b w:val="0"/>
          <w:color w:val="000000" w:themeColor="text1"/>
          <w:sz w:val="28"/>
          <w:szCs w:val="28"/>
          <w:highlight w:val="lightGray"/>
          <w14:textFill>
            <w14:solidFill>
              <w14:schemeClr w14:val="tx1"/>
            </w14:solidFill>
          </w14:textFill>
        </w:rPr>
        <w:br w:type="page"/>
      </w:r>
      <w:bookmarkStart w:id="39" w:name="_Toc15863"/>
      <w:bookmarkStart w:id="40" w:name="_Toc535048509"/>
      <w:r>
        <w:rPr>
          <w:rFonts w:hint="eastAsia" w:ascii="仿宋" w:hAnsi="仿宋" w:eastAsia="仿宋" w:cs="仿宋"/>
          <w:b w:val="0"/>
          <w:bCs w:val="0"/>
          <w:color w:val="000000" w:themeColor="text1"/>
          <w:kern w:val="1"/>
          <w:sz w:val="44"/>
          <w:szCs w:val="20"/>
          <w14:textFill>
            <w14:solidFill>
              <w14:schemeClr w14:val="tx1"/>
            </w14:solidFill>
          </w14:textFill>
        </w:rPr>
        <w:t>第四章   项目说明及工程量清单</w:t>
      </w:r>
      <w:bookmarkEnd w:id="39"/>
      <w:bookmarkEnd w:id="40"/>
    </w:p>
    <w:p>
      <w:pPr>
        <w:pStyle w:val="23"/>
        <w:snapToGrid w:val="0"/>
        <w:spacing w:line="360" w:lineRule="auto"/>
        <w:ind w:firstLine="0"/>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一、工程概况</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1、项目名称：山东科技大学科技园自行车车棚</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2、项目地点：山东科技大学科技园</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3、项目主要工程内容（简要）：雨棚制作安装等。</w:t>
      </w:r>
    </w:p>
    <w:p>
      <w:pPr>
        <w:pStyle w:val="23"/>
        <w:snapToGrid w:val="0"/>
        <w:spacing w:line="360" w:lineRule="auto"/>
        <w:ind w:firstLine="0"/>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二、工程技术要求：</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施工方案及技术要求</w:t>
      </w:r>
    </w:p>
    <w:p>
      <w:pPr>
        <w:pStyle w:val="23"/>
        <w:snapToGrid w:val="0"/>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钢结构钢架</w:t>
      </w:r>
      <w:r>
        <w:rPr>
          <w:rFonts w:hint="eastAsia" w:ascii="仿宋" w:hAnsi="仿宋" w:eastAsia="仿宋" w:cs="仿宋"/>
          <w:color w:val="000000" w:themeColor="text1"/>
          <w:kern w:val="0"/>
          <w:sz w:val="24"/>
          <w:szCs w:val="24"/>
          <w14:textFill>
            <w14:solidFill>
              <w14:schemeClr w14:val="tx1"/>
            </w14:solidFill>
          </w14:textFill>
        </w:rPr>
        <w:t>立柱宽30cm,高1.8m,厚5.75mm</w:t>
      </w:r>
    </w:p>
    <w:p>
      <w:pPr>
        <w:pStyle w:val="23"/>
        <w:snapToGrid w:val="0"/>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顶</w:t>
      </w:r>
      <w:r>
        <w:rPr>
          <w:rFonts w:hint="eastAsia" w:ascii="仿宋" w:hAnsi="仿宋" w:eastAsia="仿宋" w:cs="仿宋"/>
          <w:color w:val="000000" w:themeColor="text1"/>
          <w:kern w:val="0"/>
          <w:sz w:val="24"/>
          <w:szCs w:val="24"/>
          <w14:textFill>
            <w14:solidFill>
              <w14:schemeClr w14:val="tx1"/>
            </w14:solidFill>
          </w14:textFill>
        </w:rPr>
        <w:t>棚</w:t>
      </w:r>
      <w:r>
        <w:rPr>
          <w:rFonts w:ascii="仿宋" w:hAnsi="仿宋" w:eastAsia="仿宋" w:cs="仿宋"/>
          <w:color w:val="000000" w:themeColor="text1"/>
          <w:kern w:val="0"/>
          <w:sz w:val="24"/>
          <w:szCs w:val="24"/>
          <w14:textFill>
            <w14:solidFill>
              <w14:schemeClr w14:val="tx1"/>
            </w14:solidFill>
          </w14:textFill>
        </w:rPr>
        <w:t>是新型膜材</w:t>
      </w:r>
      <w:r>
        <w:rPr>
          <w:rFonts w:hint="eastAsia" w:ascii="仿宋" w:hAnsi="仿宋" w:eastAsia="仿宋" w:cs="仿宋"/>
          <w:color w:val="000000" w:themeColor="text1"/>
          <w:kern w:val="0"/>
          <w:sz w:val="24"/>
          <w:szCs w:val="24"/>
          <w14:textFill>
            <w14:solidFill>
              <w14:schemeClr w14:val="tx1"/>
            </w14:solidFill>
          </w14:textFill>
        </w:rPr>
        <w:t>,前沿高度2m,宽度2.5m,膜材1050克/m</w:t>
      </w:r>
      <w:r>
        <w:rPr>
          <w:rFonts w:hint="eastAsia" w:ascii="仿宋" w:hAnsi="仿宋" w:eastAsia="仿宋" w:cs="仿宋"/>
          <w:color w:val="000000" w:themeColor="text1"/>
          <w:kern w:val="0"/>
          <w:sz w:val="24"/>
          <w:szCs w:val="24"/>
          <w:vertAlign w:val="superscript"/>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 xml:space="preserve">                                                  (3)顶棚内横撑钢管使用Φ89镀锌管，厚2.75mm</w:t>
      </w:r>
    </w:p>
    <w:p>
      <w:pPr>
        <w:pStyle w:val="23"/>
        <w:snapToGrid w:val="0"/>
        <w:spacing w:line="360" w:lineRule="auto"/>
        <w:ind w:firstLine="360" w:firstLineChars="15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立柱基础：现浇C15砼基础(50cm*50cm*60cm)</w:t>
      </w:r>
      <w:r>
        <w:rPr>
          <w:rFonts w:ascii="仿宋" w:hAnsi="仿宋" w:eastAsia="仿宋" w:cs="仿宋"/>
          <w:color w:val="000000" w:themeColor="text1"/>
          <w:kern w:val="0"/>
          <w:sz w:val="24"/>
          <w:szCs w:val="24"/>
          <w14:textFill>
            <w14:solidFill>
              <w14:schemeClr w14:val="tx1"/>
            </w14:solidFill>
          </w14:textFill>
        </w:rPr>
        <w:t xml:space="preserve"> </w:t>
      </w:r>
    </w:p>
    <w:p>
      <w:pPr>
        <w:pStyle w:val="23"/>
        <w:snapToGrid w:val="0"/>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4</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使用年限15年。</w:t>
      </w:r>
    </w:p>
    <w:p>
      <w:pPr>
        <w:pStyle w:val="40"/>
        <w:snapToGrid w:val="0"/>
        <w:spacing w:line="360" w:lineRule="auto"/>
        <w:ind w:firstLine="0" w:firstLineChars="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2、其他要求</w:t>
      </w:r>
    </w:p>
    <w:p>
      <w:pPr>
        <w:pStyle w:val="40"/>
        <w:snapToGrid w:val="0"/>
        <w:spacing w:line="360" w:lineRule="auto"/>
        <w:ind w:firstLine="0" w:firstLineChars="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)供应商必须能够提供及时周到的售后服务。</w:t>
      </w:r>
    </w:p>
    <w:p>
      <w:pPr>
        <w:pStyle w:val="40"/>
        <w:snapToGrid w:val="0"/>
        <w:spacing w:line="360" w:lineRule="auto"/>
        <w:ind w:firstLine="0" w:firstLineChars="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)总工期15日历天，具体开工日期以采购人通知为准。</w:t>
      </w:r>
    </w:p>
    <w:p>
      <w:pPr>
        <w:pStyle w:val="40"/>
        <w:snapToGrid w:val="0"/>
        <w:spacing w:line="360" w:lineRule="auto"/>
        <w:ind w:firstLine="0" w:firstLineChars="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)工程保修期：2年。</w:t>
      </w:r>
    </w:p>
    <w:p>
      <w:pPr>
        <w:pStyle w:val="40"/>
        <w:snapToGrid w:val="0"/>
        <w:spacing w:line="360" w:lineRule="auto"/>
        <w:ind w:firstLine="0" w:firstLineChars="0"/>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、工程量据实结算。</w:t>
      </w:r>
    </w:p>
    <w:p>
      <w:pPr>
        <w:pStyle w:val="40"/>
        <w:snapToGrid w:val="0"/>
        <w:spacing w:line="360" w:lineRule="auto"/>
        <w:ind w:firstLine="0" w:firstLineChars="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4、开标现场需提供的样品：新型膜材</w:t>
      </w:r>
    </w:p>
    <w:p>
      <w:pPr>
        <w:pStyle w:val="40"/>
        <w:snapToGrid w:val="0"/>
        <w:spacing w:line="360" w:lineRule="auto"/>
        <w:ind w:firstLine="0" w:firstLineChars="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5、工程量清单</w:t>
      </w:r>
    </w:p>
    <w:tbl>
      <w:tblPr>
        <w:tblStyle w:val="17"/>
        <w:tblW w:w="9804" w:type="dxa"/>
        <w:tblInd w:w="0" w:type="dxa"/>
        <w:tblLayout w:type="fixed"/>
        <w:tblCellMar>
          <w:top w:w="0" w:type="dxa"/>
          <w:left w:w="0" w:type="dxa"/>
          <w:bottom w:w="0" w:type="dxa"/>
          <w:right w:w="0" w:type="dxa"/>
        </w:tblCellMar>
      </w:tblPr>
      <w:tblGrid>
        <w:gridCol w:w="557"/>
        <w:gridCol w:w="2843"/>
        <w:gridCol w:w="721"/>
        <w:gridCol w:w="992"/>
        <w:gridCol w:w="1276"/>
        <w:gridCol w:w="851"/>
        <w:gridCol w:w="2564"/>
      </w:tblGrid>
      <w:tr>
        <w:tblPrEx>
          <w:tblLayout w:type="fixed"/>
          <w:tblCellMar>
            <w:top w:w="0" w:type="dxa"/>
            <w:left w:w="0" w:type="dxa"/>
            <w:bottom w:w="0" w:type="dxa"/>
            <w:right w:w="0" w:type="dxa"/>
          </w:tblCellMar>
        </w:tblPrEx>
        <w:trPr>
          <w:trHeight w:val="492" w:hRule="atLeast"/>
        </w:trPr>
        <w:tc>
          <w:tcPr>
            <w:tcW w:w="9804" w:type="dxa"/>
            <w:gridSpan w:val="7"/>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Cs w:val="32"/>
                <w:lang w:bidi="ar"/>
              </w:rPr>
              <w:t>科技园自行车雨棚安装工程报价表</w:t>
            </w:r>
          </w:p>
        </w:tc>
      </w:tr>
      <w:tr>
        <w:tblPrEx>
          <w:tblLayout w:type="fixed"/>
          <w:tblCellMar>
            <w:top w:w="0" w:type="dxa"/>
            <w:left w:w="0" w:type="dxa"/>
            <w:bottom w:w="0" w:type="dxa"/>
            <w:right w:w="0" w:type="dxa"/>
          </w:tblCellMar>
        </w:tblPrEx>
        <w:trPr>
          <w:trHeight w:val="600" w:hRule="atLeast"/>
        </w:trPr>
        <w:tc>
          <w:tcPr>
            <w:tcW w:w="557" w:type="dxa"/>
            <w:tcBorders>
              <w:top w:val="single" w:color="000000" w:sz="8"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序号</w:t>
            </w:r>
          </w:p>
        </w:tc>
        <w:tc>
          <w:tcPr>
            <w:tcW w:w="2843" w:type="dxa"/>
            <w:tcBorders>
              <w:top w:val="single" w:color="000000" w:sz="8"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项目名称</w:t>
            </w:r>
          </w:p>
        </w:tc>
        <w:tc>
          <w:tcPr>
            <w:tcW w:w="721" w:type="dxa"/>
            <w:tcBorders>
              <w:top w:val="single" w:color="000000" w:sz="8"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单位</w:t>
            </w:r>
          </w:p>
        </w:tc>
        <w:tc>
          <w:tcPr>
            <w:tcW w:w="992" w:type="dxa"/>
            <w:tcBorders>
              <w:top w:val="single" w:color="000000" w:sz="8"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数量</w:t>
            </w:r>
          </w:p>
        </w:tc>
        <w:tc>
          <w:tcPr>
            <w:tcW w:w="1276" w:type="dxa"/>
            <w:tcBorders>
              <w:top w:val="single" w:color="000000" w:sz="8"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单价（元）</w:t>
            </w:r>
          </w:p>
        </w:tc>
        <w:tc>
          <w:tcPr>
            <w:tcW w:w="851" w:type="dxa"/>
            <w:tcBorders>
              <w:top w:val="single" w:color="000000" w:sz="8"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金额（元）</w:t>
            </w:r>
          </w:p>
        </w:tc>
        <w:tc>
          <w:tcPr>
            <w:tcW w:w="2564" w:type="dxa"/>
            <w:tcBorders>
              <w:top w:val="single" w:color="000000" w:sz="8"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备注</w:t>
            </w:r>
          </w:p>
        </w:tc>
      </w:tr>
      <w:tr>
        <w:tblPrEx>
          <w:tblLayout w:type="fixed"/>
          <w:tblCellMar>
            <w:top w:w="0" w:type="dxa"/>
            <w:left w:w="0" w:type="dxa"/>
            <w:bottom w:w="0" w:type="dxa"/>
            <w:right w:w="0" w:type="dxa"/>
          </w:tblCellMar>
        </w:tblPrEx>
        <w:trPr>
          <w:trHeight w:val="600" w:hRule="atLeast"/>
        </w:trPr>
        <w:tc>
          <w:tcPr>
            <w:tcW w:w="557"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膜结构自行车雨棚制作安装</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m</w:t>
            </w:r>
            <w:r>
              <w:rPr>
                <w:rFonts w:ascii="仿宋" w:hAnsi="仿宋" w:eastAsia="仿宋" w:cs="仿宋"/>
                <w:color w:val="000000" w:themeColor="text1"/>
                <w:kern w:val="0"/>
                <w:sz w:val="24"/>
                <w:szCs w:val="24"/>
                <w:vertAlign w:val="superscript"/>
                <w14:textFill>
                  <w14:solidFill>
                    <w14:schemeClr w14:val="tx1"/>
                  </w14:solidFill>
                </w14:textFill>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112.5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p>
        </w:tc>
        <w:tc>
          <w:tcPr>
            <w:tcW w:w="2564" w:type="dxa"/>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长33m+长6m*2=45m                        长45m*宽2.5m=112.5m</w:t>
            </w:r>
            <w:r>
              <w:rPr>
                <w:rFonts w:ascii="仿宋" w:hAnsi="仿宋" w:eastAsia="仿宋" w:cs="仿宋"/>
                <w:color w:val="000000" w:themeColor="text1"/>
                <w:kern w:val="0"/>
                <w:sz w:val="24"/>
                <w:szCs w:val="24"/>
                <w:vertAlign w:val="superscript"/>
                <w14:textFill>
                  <w14:solidFill>
                    <w14:schemeClr w14:val="tx1"/>
                  </w14:solidFill>
                </w14:textFill>
              </w:rPr>
              <w:t>2</w:t>
            </w:r>
          </w:p>
        </w:tc>
      </w:tr>
      <w:tr>
        <w:tblPrEx>
          <w:tblLayout w:type="fixed"/>
          <w:tblCellMar>
            <w:top w:w="0" w:type="dxa"/>
            <w:left w:w="0" w:type="dxa"/>
            <w:bottom w:w="0" w:type="dxa"/>
            <w:right w:w="0" w:type="dxa"/>
          </w:tblCellMar>
        </w:tblPrEx>
        <w:trPr>
          <w:trHeight w:val="600" w:hRule="atLeast"/>
        </w:trPr>
        <w:tc>
          <w:tcPr>
            <w:tcW w:w="557" w:type="dxa"/>
            <w:tcBorders>
              <w:top w:val="single" w:color="000000" w:sz="4" w:space="0"/>
              <w:left w:val="single" w:color="000000" w:sz="8"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现浇砼支墩   （50cm*50cm*60cm)</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p>
        </w:tc>
        <w:tc>
          <w:tcPr>
            <w:tcW w:w="2564" w:type="dxa"/>
            <w:tcBorders>
              <w:top w:val="single" w:color="000000" w:sz="4" w:space="0"/>
              <w:left w:val="single" w:color="000000" w:sz="4" w:space="0"/>
              <w:bottom w:val="single" w:color="000000" w:sz="4" w:space="0"/>
              <w:right w:val="single" w:color="000000" w:sz="8" w:space="0"/>
            </w:tcBorders>
            <w:shd w:val="clear" w:color="auto" w:fill="auto"/>
            <w:tcMar>
              <w:top w:w="10" w:type="dxa"/>
              <w:left w:w="10" w:type="dxa"/>
              <w:right w:w="10" w:type="dxa"/>
            </w:tcMar>
            <w:vAlign w:val="center"/>
          </w:tcPr>
          <w:p>
            <w:pPr>
              <w:jc w:val="center"/>
              <w:rPr>
                <w:rFonts w:ascii="仿宋" w:hAnsi="仿宋" w:eastAsia="仿宋" w:cs="仿宋"/>
                <w:color w:val="000000" w:themeColor="text1"/>
                <w:kern w:val="0"/>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176" w:hRule="atLeast"/>
        </w:trPr>
        <w:tc>
          <w:tcPr>
            <w:tcW w:w="557" w:type="dxa"/>
            <w:tcBorders>
              <w:top w:val="single" w:color="000000" w:sz="4" w:space="0"/>
              <w:left w:val="single" w:color="000000" w:sz="8" w:space="0"/>
              <w:bottom w:val="single" w:color="000000" w:sz="8" w:space="0"/>
              <w:right w:val="single" w:color="000000" w:sz="4" w:space="0"/>
            </w:tcBorders>
            <w:shd w:val="clear" w:color="auto" w:fill="auto"/>
            <w:noWrap/>
            <w:tcMar>
              <w:top w:w="10" w:type="dxa"/>
              <w:left w:w="10" w:type="dxa"/>
              <w:right w:w="10" w:type="dxa"/>
            </w:tcMar>
            <w:vAlign w:val="center"/>
          </w:tcPr>
          <w:p>
            <w:pPr>
              <w:jc w:val="center"/>
              <w:rPr>
                <w:rFonts w:ascii="仿宋" w:hAnsi="仿宋" w:eastAsia="仿宋" w:cs="仿宋"/>
                <w:color w:val="000000" w:themeColor="text1"/>
                <w:kern w:val="0"/>
                <w:sz w:val="24"/>
                <w:szCs w:val="24"/>
                <w14:textFill>
                  <w14:solidFill>
                    <w14:schemeClr w14:val="tx1"/>
                  </w14:solidFill>
                </w14:textFill>
              </w:rPr>
            </w:pPr>
          </w:p>
        </w:tc>
        <w:tc>
          <w:tcPr>
            <w:tcW w:w="5832" w:type="dxa"/>
            <w:gridSpan w:val="4"/>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合计</w:t>
            </w:r>
          </w:p>
        </w:tc>
        <w:tc>
          <w:tcPr>
            <w:tcW w:w="851" w:type="dxa"/>
            <w:tcBorders>
              <w:top w:val="single" w:color="000000" w:sz="4" w:space="0"/>
              <w:left w:val="single" w:color="000000" w:sz="4" w:space="0"/>
              <w:bottom w:val="single" w:color="000000" w:sz="8"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w:t>
            </w:r>
          </w:p>
        </w:tc>
        <w:tc>
          <w:tcPr>
            <w:tcW w:w="2564" w:type="dxa"/>
            <w:tcBorders>
              <w:top w:val="single" w:color="000000" w:sz="4" w:space="0"/>
              <w:left w:val="single" w:color="000000" w:sz="4"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仿宋" w:hAnsi="仿宋" w:eastAsia="仿宋" w:cs="仿宋"/>
                <w:color w:val="000000" w:themeColor="text1"/>
                <w:kern w:val="0"/>
                <w:sz w:val="24"/>
                <w:szCs w:val="24"/>
                <w14:textFill>
                  <w14:solidFill>
                    <w14:schemeClr w14:val="tx1"/>
                  </w14:solidFill>
                </w14:textFill>
              </w:rPr>
            </w:pPr>
          </w:p>
        </w:tc>
      </w:tr>
    </w:tbl>
    <w:p>
      <w:pPr>
        <w:adjustRightInd w:val="0"/>
        <w:snapToGrid w:val="0"/>
        <w:spacing w:line="252" w:lineRule="auto"/>
        <w:jc w:val="left"/>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注：报价表中所有报价均为含税报价，综合单价为工程验收合格结算价，包括材料费、人工费、管理费、税金等所有施工结算中发生的各种费用。</w:t>
      </w:r>
    </w:p>
    <w:p>
      <w:pPr>
        <w:pStyle w:val="3"/>
        <w:pageBreakBefore/>
        <w:spacing w:before="0" w:after="0" w:line="360" w:lineRule="auto"/>
        <w:jc w:val="center"/>
        <w:rPr>
          <w:rFonts w:ascii="仿宋" w:hAnsi="仿宋" w:eastAsia="仿宋" w:cs="仿宋"/>
          <w:b w:val="0"/>
          <w:color w:val="000000" w:themeColor="text1"/>
          <w14:textFill>
            <w14:solidFill>
              <w14:schemeClr w14:val="tx1"/>
            </w14:solidFill>
          </w14:textFill>
        </w:rPr>
      </w:pPr>
      <w:bookmarkStart w:id="41" w:name="_Toc535048517"/>
      <w:bookmarkStart w:id="42" w:name="_Toc2057"/>
      <w:r>
        <w:rPr>
          <w:rFonts w:hint="eastAsia" w:ascii="仿宋" w:hAnsi="仿宋" w:eastAsia="仿宋" w:cs="仿宋"/>
          <w:b w:val="0"/>
          <w:color w:val="000000" w:themeColor="text1"/>
          <w14:textFill>
            <w14:solidFill>
              <w14:schemeClr w14:val="tx1"/>
            </w14:solidFill>
          </w14:textFill>
        </w:rPr>
        <w:t>第五章   响应文件格式</w:t>
      </w:r>
      <w:bookmarkEnd w:id="41"/>
      <w:bookmarkEnd w:id="42"/>
    </w:p>
    <w:p>
      <w:pPr>
        <w:pStyle w:val="4"/>
        <w:spacing w:before="0" w:after="0" w:line="360" w:lineRule="auto"/>
        <w:jc w:val="center"/>
        <w:rPr>
          <w:rFonts w:ascii="仿宋" w:hAnsi="仿宋" w:eastAsia="仿宋" w:cs="仿宋"/>
          <w:b w:val="0"/>
          <w:color w:val="000000" w:themeColor="text1"/>
          <w14:textFill>
            <w14:solidFill>
              <w14:schemeClr w14:val="tx1"/>
            </w14:solidFill>
          </w14:textFill>
        </w:rPr>
      </w:pPr>
      <w:bookmarkStart w:id="43" w:name="_Toc535048518"/>
      <w:bookmarkStart w:id="44" w:name="_Toc8874"/>
      <w:r>
        <w:rPr>
          <w:rFonts w:hint="eastAsia" w:ascii="仿宋" w:hAnsi="仿宋" w:eastAsia="仿宋" w:cs="仿宋"/>
          <w:b w:val="0"/>
          <w:color w:val="000000" w:themeColor="text1"/>
          <w14:textFill>
            <w14:solidFill>
              <w14:schemeClr w14:val="tx1"/>
            </w14:solidFill>
          </w14:textFill>
        </w:rPr>
        <w:t>第一部分 报价函部分格式</w:t>
      </w:r>
      <w:bookmarkEnd w:id="43"/>
      <w:bookmarkEnd w:id="44"/>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一、授权委托书</w:t>
      </w:r>
    </w:p>
    <w:p>
      <w:pPr>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本授权委托书声明：我 </w:t>
      </w:r>
      <w:r>
        <w:rPr>
          <w:rFonts w:hint="eastAsia" w:ascii="仿宋" w:hAnsi="仿宋" w:eastAsia="仿宋" w:cs="仿宋"/>
          <w:color w:val="000000" w:themeColor="text1"/>
          <w:sz w:val="24"/>
          <w:szCs w:val="24"/>
          <w:u w:val="single"/>
          <w14:textFill>
            <w14:solidFill>
              <w14:schemeClr w14:val="tx1"/>
            </w14:solidFill>
          </w14:textFill>
        </w:rPr>
        <w:t xml:space="preserve">  (姓名)  </w:t>
      </w:r>
      <w:r>
        <w:rPr>
          <w:rFonts w:hint="eastAsia" w:ascii="仿宋" w:hAnsi="仿宋" w:eastAsia="仿宋" w:cs="仿宋"/>
          <w:color w:val="000000" w:themeColor="text1"/>
          <w:sz w:val="24"/>
          <w:szCs w:val="24"/>
          <w14:textFill>
            <w14:solidFill>
              <w14:schemeClr w14:val="tx1"/>
            </w14:solidFill>
          </w14:textFill>
        </w:rPr>
        <w:t>系</w:t>
      </w:r>
      <w:r>
        <w:rPr>
          <w:rFonts w:hint="eastAsia" w:ascii="仿宋" w:hAnsi="仿宋" w:eastAsia="仿宋" w:cs="仿宋"/>
          <w:color w:val="000000" w:themeColor="text1"/>
          <w:sz w:val="24"/>
          <w:szCs w:val="24"/>
          <w:u w:val="single"/>
          <w14:textFill>
            <w14:solidFill>
              <w14:schemeClr w14:val="tx1"/>
            </w14:solidFill>
          </w14:textFill>
        </w:rPr>
        <w:t xml:space="preserve">   (供应商名称)    </w:t>
      </w:r>
      <w:r>
        <w:rPr>
          <w:rFonts w:hint="eastAsia" w:ascii="仿宋" w:hAnsi="仿宋" w:eastAsia="仿宋" w:cs="仿宋"/>
          <w:color w:val="000000" w:themeColor="text1"/>
          <w:sz w:val="24"/>
          <w:szCs w:val="24"/>
          <w14:textFill>
            <w14:solidFill>
              <w14:schemeClr w14:val="tx1"/>
            </w14:solidFill>
          </w14:textFill>
        </w:rPr>
        <w:t>的法定代表人，现授权委托</w:t>
      </w:r>
      <w:r>
        <w:rPr>
          <w:rFonts w:hint="eastAsia" w:ascii="仿宋" w:hAnsi="仿宋" w:eastAsia="仿宋" w:cs="仿宋"/>
          <w:color w:val="000000" w:themeColor="text1"/>
          <w:sz w:val="24"/>
          <w:szCs w:val="24"/>
          <w:u w:val="single"/>
          <w14:textFill>
            <w14:solidFill>
              <w14:schemeClr w14:val="tx1"/>
            </w14:solidFill>
          </w14:textFill>
        </w:rPr>
        <w:t xml:space="preserve">    (单位名称)    </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z w:val="24"/>
          <w:szCs w:val="24"/>
          <w:u w:val="single"/>
          <w14:textFill>
            <w14:solidFill>
              <w14:schemeClr w14:val="tx1"/>
            </w14:solidFill>
          </w14:textFill>
        </w:rPr>
        <w:t xml:space="preserve">     （姓名）   </w:t>
      </w:r>
      <w:r>
        <w:rPr>
          <w:rFonts w:hint="eastAsia" w:ascii="仿宋" w:hAnsi="仿宋" w:eastAsia="仿宋" w:cs="仿宋"/>
          <w:color w:val="000000" w:themeColor="text1"/>
          <w:sz w:val="24"/>
          <w:szCs w:val="24"/>
          <w14:textFill>
            <w14:solidFill>
              <w14:schemeClr w14:val="tx1"/>
            </w14:solidFill>
          </w14:textFill>
        </w:rPr>
        <w:t>为我公司签署</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工程的响应文件的法定代表人授权委托代理人，我承认代理人全权代表我所签署的本工程的响应文件的内容。</w:t>
      </w:r>
    </w:p>
    <w:p>
      <w:pPr>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代理人无转委托权，特此委托。</w:t>
      </w:r>
    </w:p>
    <w:tbl>
      <w:tblPr>
        <w:tblStyle w:val="17"/>
        <w:tblW w:w="6716" w:type="dxa"/>
        <w:jc w:val="center"/>
        <w:tblInd w:w="0" w:type="dxa"/>
        <w:tblLayout w:type="fixed"/>
        <w:tblCellMar>
          <w:top w:w="0" w:type="dxa"/>
          <w:left w:w="108" w:type="dxa"/>
          <w:bottom w:w="0" w:type="dxa"/>
          <w:right w:w="108" w:type="dxa"/>
        </w:tblCellMar>
      </w:tblPr>
      <w:tblGrid>
        <w:gridCol w:w="6716"/>
      </w:tblGrid>
      <w:tr>
        <w:tblPrEx>
          <w:tblLayout w:type="fixed"/>
          <w:tblCellMar>
            <w:top w:w="0" w:type="dxa"/>
            <w:left w:w="108" w:type="dxa"/>
            <w:bottom w:w="0" w:type="dxa"/>
            <w:right w:w="108" w:type="dxa"/>
          </w:tblCellMar>
        </w:tblPrEx>
        <w:trPr>
          <w:trHeight w:val="4364" w:hRule="atLeast"/>
          <w:jc w:val="center"/>
        </w:trPr>
        <w:tc>
          <w:tcPr>
            <w:tcW w:w="67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授权委托人的身份证明</w:t>
            </w:r>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（粘贴处）</w:t>
            </w:r>
          </w:p>
        </w:tc>
      </w:tr>
    </w:tbl>
    <w:p>
      <w:pPr>
        <w:spacing w:line="360" w:lineRule="auto"/>
        <w:ind w:firstLine="1200" w:firstLineChars="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代理人：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性别：</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年龄：</w:t>
      </w:r>
      <w:r>
        <w:rPr>
          <w:rFonts w:hint="eastAsia" w:ascii="仿宋" w:hAnsi="仿宋" w:eastAsia="仿宋" w:cs="仿宋"/>
          <w:color w:val="000000" w:themeColor="text1"/>
          <w:sz w:val="24"/>
          <w:szCs w:val="24"/>
          <w:u w:val="single"/>
          <w14:textFill>
            <w14:solidFill>
              <w14:schemeClr w14:val="tx1"/>
            </w14:solidFill>
          </w14:textFill>
        </w:rPr>
        <w:t xml:space="preserve">          </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职务：</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firstLine="1200" w:firstLineChars="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w:t>
      </w:r>
      <w:r>
        <w:rPr>
          <w:rFonts w:hint="eastAsia" w:ascii="仿宋" w:hAnsi="仿宋" w:eastAsia="仿宋" w:cs="仿宋"/>
          <w:color w:val="000000" w:themeColor="text1"/>
          <w:sz w:val="24"/>
          <w:szCs w:val="24"/>
          <w:u w:val="single"/>
          <w14:textFill>
            <w14:solidFill>
              <w14:schemeClr w14:val="tx1"/>
            </w14:solidFill>
          </w14:textFill>
        </w:rPr>
        <w:t xml:space="preserve">                                    （盖章）</w:t>
      </w:r>
    </w:p>
    <w:p>
      <w:pPr>
        <w:tabs>
          <w:tab w:val="center" w:pos="4153"/>
        </w:tabs>
        <w:spacing w:line="360" w:lineRule="auto"/>
        <w:ind w:firstLine="1200" w:firstLineChars="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w:t>
      </w:r>
      <w:r>
        <w:rPr>
          <w:rFonts w:hint="eastAsia" w:ascii="仿宋" w:hAnsi="仿宋" w:eastAsia="仿宋" w:cs="仿宋"/>
          <w:color w:val="000000" w:themeColor="text1"/>
          <w:sz w:val="24"/>
          <w:szCs w:val="24"/>
          <w:u w:val="single"/>
          <w14:textFill>
            <w14:solidFill>
              <w14:schemeClr w14:val="tx1"/>
            </w14:solidFill>
          </w14:textFill>
        </w:rPr>
        <w:t xml:space="preserve">               （签字或盖章）           </w:t>
      </w:r>
    </w:p>
    <w:p>
      <w:pPr>
        <w:spacing w:line="360" w:lineRule="auto"/>
        <w:ind w:firstLine="1200" w:firstLineChars="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授权委托日期：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年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pPr>
        <w:pageBreakBefore/>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二、 报 价 函</w:t>
      </w:r>
    </w:p>
    <w:p>
      <w:pPr>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w:t>
      </w:r>
      <w:r>
        <w:rPr>
          <w:rFonts w:hint="eastAsia" w:ascii="仿宋" w:hAnsi="仿宋" w:eastAsia="仿宋" w:cs="仿宋"/>
          <w:color w:val="000000" w:themeColor="text1"/>
          <w:sz w:val="24"/>
          <w:szCs w:val="24"/>
          <w:u w:val="single"/>
          <w14:textFill>
            <w14:solidFill>
              <w14:schemeClr w14:val="tx1"/>
            </w14:solidFill>
          </w14:textFill>
        </w:rPr>
        <w:t xml:space="preserve"> </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根据已收到的贵方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工程的磋商文件，我方经考察现场和仔细研究磋商文件的全部内容，已完全理解并全部接受磋商文件的所有要求，并考虑到了潜在所有风险。据此，我们愿以人民币详见下表：</w:t>
      </w:r>
    </w:p>
    <w:tbl>
      <w:tblPr>
        <w:tblStyle w:val="17"/>
        <w:tblW w:w="8533" w:type="dxa"/>
        <w:tblInd w:w="-5" w:type="dxa"/>
        <w:tblLayout w:type="fixed"/>
        <w:tblCellMar>
          <w:top w:w="0" w:type="dxa"/>
          <w:left w:w="108" w:type="dxa"/>
          <w:bottom w:w="0" w:type="dxa"/>
          <w:right w:w="108" w:type="dxa"/>
        </w:tblCellMar>
      </w:tblPr>
      <w:tblGrid>
        <w:gridCol w:w="1583"/>
        <w:gridCol w:w="1301"/>
        <w:gridCol w:w="1512"/>
        <w:gridCol w:w="1036"/>
        <w:gridCol w:w="1746"/>
        <w:gridCol w:w="1355"/>
      </w:tblGrid>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w:t>
            </w:r>
          </w:p>
        </w:tc>
        <w:tc>
          <w:tcPr>
            <w:tcW w:w="1301"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规格 </w:t>
            </w:r>
          </w:p>
        </w:tc>
        <w:tc>
          <w:tcPr>
            <w:tcW w:w="1512"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1036"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746"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合价（元）</w:t>
            </w:r>
          </w:p>
        </w:tc>
        <w:tc>
          <w:tcPr>
            <w:tcW w:w="135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8533" w:type="dxa"/>
            <w:gridSpan w:val="6"/>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left"/>
              <w:rPr>
                <w:rFonts w:ascii="仿宋" w:hAnsi="仿宋" w:eastAsia="仿宋" w:cs="仿宋"/>
                <w:color w:val="000000" w:themeColor="text1"/>
                <w:sz w:val="24"/>
                <w:szCs w:val="24"/>
                <w14:textFill>
                  <w14:solidFill>
                    <w14:schemeClr w14:val="tx1"/>
                  </w14:solidFill>
                </w14:textFill>
              </w:rPr>
            </w:pPr>
          </w:p>
        </w:tc>
      </w:tr>
    </w:tbl>
    <w:p>
      <w:pPr>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的响应报价，按合同条款、技术要求及规范等要求承包上述工程的施工、竣工并承担保修责任。</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1、一旦我方成交，我方保证在在收到开工通知书后，按要求的时间开工。</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2、我方同意磋商文件对响应有效期的规定。在响应有效期以前的任何时间，本响应书一直对我方具有约束力，并可随时被接受成交。</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3、在制定和签署一份正式协议书之前，本报价函连同贵方的书面成交通知，将构成约束贵我双方的合同。</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4、我方也理解，不论成交与否，贵方不承担我方的任何响应费用。</w:t>
      </w:r>
    </w:p>
    <w:p>
      <w:pPr>
        <w:snapToGrid w:val="0"/>
        <w:spacing w:line="360" w:lineRule="auto"/>
        <w:ind w:firstLine="482"/>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供应商（盖章）：                   法定代表人（签字）：</w:t>
      </w:r>
    </w:p>
    <w:p>
      <w:pPr>
        <w:snapToGrid w:val="0"/>
        <w:spacing w:line="360" w:lineRule="auto"/>
        <w:ind w:firstLine="480"/>
        <w:rPr>
          <w:rFonts w:ascii="仿宋" w:hAnsi="仿宋" w:eastAsia="仿宋" w:cs="仿宋"/>
          <w:color w:val="000000" w:themeColor="text1"/>
          <w:sz w:val="24"/>
          <w:szCs w:val="24"/>
          <w14:textFill>
            <w14:solidFill>
              <w14:schemeClr w14:val="tx1"/>
            </w14:solidFill>
          </w14:textFill>
        </w:rPr>
      </w:pPr>
    </w:p>
    <w:p>
      <w:pPr>
        <w:wordWrap w:val="0"/>
        <w:snapToGrid w:val="0"/>
        <w:spacing w:line="360" w:lineRule="auto"/>
        <w:ind w:firstLine="482"/>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      年  月  日</w:t>
      </w:r>
    </w:p>
    <w:p>
      <w:pPr>
        <w:pageBreakBefore/>
        <w:spacing w:line="360" w:lineRule="auto"/>
        <w:ind w:firstLine="480"/>
        <w:rPr>
          <w:rFonts w:ascii="仿宋" w:hAnsi="仿宋" w:eastAsia="仿宋" w:cs="仿宋"/>
          <w:color w:val="000000" w:themeColor="text1"/>
          <w:sz w:val="24"/>
          <w:szCs w:val="24"/>
          <w14:textFill>
            <w14:solidFill>
              <w14:schemeClr w14:val="tx1"/>
            </w14:solidFill>
          </w14:textFill>
        </w:rPr>
      </w:pPr>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三、报价一览表</w:t>
      </w:r>
    </w:p>
    <w:tbl>
      <w:tblPr>
        <w:tblStyle w:val="17"/>
        <w:tblW w:w="8709" w:type="dxa"/>
        <w:jc w:val="center"/>
        <w:tblInd w:w="0" w:type="dxa"/>
        <w:tblLayout w:type="fixed"/>
        <w:tblCellMar>
          <w:top w:w="0" w:type="dxa"/>
          <w:left w:w="108" w:type="dxa"/>
          <w:bottom w:w="0" w:type="dxa"/>
          <w:right w:w="108" w:type="dxa"/>
        </w:tblCellMar>
      </w:tblPr>
      <w:tblGrid>
        <w:gridCol w:w="1940"/>
        <w:gridCol w:w="1197"/>
        <w:gridCol w:w="1737"/>
        <w:gridCol w:w="1396"/>
        <w:gridCol w:w="2439"/>
      </w:tblGrid>
      <w:tr>
        <w:tblPrEx>
          <w:tblLayout w:type="fixed"/>
          <w:tblCellMar>
            <w:top w:w="0" w:type="dxa"/>
            <w:left w:w="108" w:type="dxa"/>
            <w:bottom w:w="0" w:type="dxa"/>
            <w:right w:w="108" w:type="dxa"/>
          </w:tblCellMar>
        </w:tblPrEx>
        <w:trPr>
          <w:trHeight w:val="669"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包号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r>
      <w:tr>
        <w:tblPrEx>
          <w:tblLayout w:type="fixed"/>
          <w:tblCellMar>
            <w:top w:w="0" w:type="dxa"/>
            <w:left w:w="108" w:type="dxa"/>
            <w:bottom w:w="0" w:type="dxa"/>
            <w:right w:w="108" w:type="dxa"/>
          </w:tblCellMar>
        </w:tblPrEx>
        <w:trPr>
          <w:trHeight w:val="648"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响应总报价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大写：            </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小写：             元</w:t>
            </w:r>
          </w:p>
        </w:tc>
      </w:tr>
      <w:tr>
        <w:tblPrEx>
          <w:tblLayout w:type="fixed"/>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724"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ind w:left="178" w:hanging="178"/>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质量标准</w:t>
            </w:r>
          </w:p>
        </w:tc>
        <w:tc>
          <w:tcPr>
            <w:tcW w:w="2934" w:type="dxa"/>
            <w:gridSpan w:val="2"/>
            <w:tcBorders>
              <w:top w:val="single" w:color="000000" w:sz="4" w:space="0"/>
              <w:left w:val="single" w:color="000000" w:sz="4" w:space="0"/>
              <w:bottom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96"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承诺工期</w:t>
            </w:r>
          </w:p>
        </w:tc>
        <w:tc>
          <w:tcPr>
            <w:tcW w:w="24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共</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个日历日</w:t>
            </w:r>
          </w:p>
        </w:tc>
      </w:tr>
      <w:tr>
        <w:tblPrEx>
          <w:tblLayout w:type="fixed"/>
          <w:tblCellMar>
            <w:top w:w="0" w:type="dxa"/>
            <w:left w:w="108" w:type="dxa"/>
            <w:bottom w:w="0" w:type="dxa"/>
            <w:right w:w="108" w:type="dxa"/>
          </w:tblCellMar>
        </w:tblPrEx>
        <w:trPr>
          <w:trHeight w:val="8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对磋商文件</w:t>
            </w:r>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的认同程度</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869" w:hRule="atLeast"/>
          <w:jc w:val="center"/>
        </w:trPr>
        <w:tc>
          <w:tcPr>
            <w:tcW w:w="3137" w:type="dxa"/>
            <w:gridSpan w:val="2"/>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法定代表人或委托代理人确认（签字）</w:t>
            </w:r>
          </w:p>
        </w:tc>
        <w:tc>
          <w:tcPr>
            <w:tcW w:w="55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55" w:hRule="atLeast"/>
          <w:jc w:val="center"/>
        </w:trPr>
        <w:tc>
          <w:tcPr>
            <w:tcW w:w="8709" w:type="dxa"/>
            <w:gridSpan w:val="5"/>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注：本唱价单除含在响应文件中，另外必须单独密封一份，用以公开报价。</w:t>
            </w:r>
          </w:p>
        </w:tc>
      </w:tr>
    </w:tbl>
    <w:p>
      <w:pPr>
        <w:spacing w:line="360" w:lineRule="auto"/>
        <w:rPr>
          <w:rFonts w:ascii="仿宋" w:hAnsi="仿宋" w:eastAsia="仿宋" w:cs="仿宋"/>
          <w:bCs/>
          <w:color w:val="000000" w:themeColor="text1"/>
          <w:sz w:val="24"/>
          <w:szCs w:val="24"/>
          <w14:textFill>
            <w14:solidFill>
              <w14:schemeClr w14:val="tx1"/>
            </w14:solidFill>
          </w14:textFill>
        </w:rPr>
      </w:pPr>
    </w:p>
    <w:p>
      <w:pPr>
        <w:spacing w:line="360" w:lineRule="auto"/>
        <w:ind w:firstLine="41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供应商（盖章）   </w:t>
      </w:r>
    </w:p>
    <w:p>
      <w:pPr>
        <w:spacing w:line="360" w:lineRule="auto"/>
        <w:ind w:firstLine="41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firstLine="41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法定代表人或委托代理人：（签字或盖章）</w:t>
      </w:r>
    </w:p>
    <w:p>
      <w:pPr>
        <w:spacing w:line="360" w:lineRule="auto"/>
        <w:ind w:firstLine="410"/>
        <w:rPr>
          <w:rFonts w:ascii="仿宋" w:hAnsi="仿宋" w:eastAsia="仿宋" w:cs="仿宋"/>
          <w:color w:val="000000" w:themeColor="text1"/>
          <w:sz w:val="24"/>
          <w:szCs w:val="24"/>
          <w14:textFill>
            <w14:solidFill>
              <w14:schemeClr w14:val="tx1"/>
            </w14:solidFill>
          </w14:textFill>
        </w:rPr>
      </w:pPr>
    </w:p>
    <w:p>
      <w:pPr>
        <w:spacing w:line="360" w:lineRule="auto"/>
        <w:ind w:firstLine="352"/>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pPr>
        <w:pStyle w:val="4"/>
        <w:pageBreakBefore/>
        <w:jc w:val="center"/>
        <w:rPr>
          <w:rFonts w:ascii="仿宋" w:hAnsi="仿宋" w:eastAsia="仿宋" w:cs="仿宋"/>
          <w:b w:val="0"/>
          <w:color w:val="000000" w:themeColor="text1"/>
          <w14:textFill>
            <w14:solidFill>
              <w14:schemeClr w14:val="tx1"/>
            </w14:solidFill>
          </w14:textFill>
        </w:rPr>
      </w:pPr>
      <w:bookmarkStart w:id="45" w:name="_Toc31818"/>
      <w:bookmarkStart w:id="46" w:name="_Toc535048519"/>
      <w:r>
        <w:rPr>
          <w:rFonts w:hint="eastAsia" w:ascii="仿宋" w:hAnsi="仿宋" w:eastAsia="仿宋" w:cs="仿宋"/>
          <w:b w:val="0"/>
          <w:color w:val="000000" w:themeColor="text1"/>
          <w14:textFill>
            <w14:solidFill>
              <w14:schemeClr w14:val="tx1"/>
            </w14:solidFill>
          </w14:textFill>
        </w:rPr>
        <w:t>第二部分 商务部分格式</w:t>
      </w:r>
      <w:bookmarkEnd w:id="45"/>
      <w:bookmarkEnd w:id="46"/>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一、工程量清单</w:t>
      </w: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1.详见第四章工程量清单及报价表</w:t>
      </w:r>
    </w:p>
    <w:p>
      <w:pPr>
        <w:rPr>
          <w:rFonts w:ascii="仿宋" w:hAnsi="仿宋" w:eastAsia="仿宋" w:cs="仿宋"/>
          <w:color w:val="000000" w:themeColor="text1"/>
          <w14:textFill>
            <w14:solidFill>
              <w14:schemeClr w14:val="tx1"/>
            </w14:solidFill>
          </w14:textFill>
        </w:rPr>
      </w:pPr>
    </w:p>
    <w:p>
      <w:pPr>
        <w:pStyle w:val="4"/>
        <w:jc w:val="center"/>
        <w:rPr>
          <w:rFonts w:ascii="仿宋" w:hAnsi="仿宋" w:eastAsia="仿宋" w:cs="仿宋"/>
          <w:b w:val="0"/>
          <w:color w:val="000000" w:themeColor="text1"/>
          <w14:textFill>
            <w14:solidFill>
              <w14:schemeClr w14:val="tx1"/>
            </w14:solidFill>
          </w14:textFill>
        </w:rPr>
      </w:pPr>
      <w:r>
        <w:rPr>
          <w:rFonts w:hint="eastAsia" w:ascii="仿宋" w:hAnsi="仿宋" w:eastAsia="仿宋" w:cs="仿宋"/>
          <w:b w:val="0"/>
          <w:color w:val="000000" w:themeColor="text1"/>
          <w14:textFill>
            <w14:solidFill>
              <w14:schemeClr w14:val="tx1"/>
            </w14:solidFill>
          </w14:textFill>
        </w:rPr>
        <w:br w:type="page"/>
      </w:r>
      <w:bookmarkStart w:id="47" w:name="_Toc535048520"/>
      <w:bookmarkStart w:id="48" w:name="_Toc18128"/>
      <w:r>
        <w:rPr>
          <w:rFonts w:hint="eastAsia" w:ascii="仿宋" w:hAnsi="仿宋" w:eastAsia="仿宋" w:cs="仿宋"/>
          <w:b w:val="0"/>
          <w:color w:val="000000" w:themeColor="text1"/>
          <w14:textFill>
            <w14:solidFill>
              <w14:schemeClr w14:val="tx1"/>
            </w14:solidFill>
          </w14:textFill>
        </w:rPr>
        <w:t>第三部分 技术部分</w:t>
      </w:r>
      <w:bookmarkEnd w:id="47"/>
      <w:bookmarkEnd w:id="48"/>
    </w:p>
    <w:p>
      <w:pPr>
        <w:overflowPunct w:val="0"/>
        <w:autoSpaceDE w:val="0"/>
        <w:snapToGrid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一、施工组织设计</w:t>
      </w:r>
    </w:p>
    <w:p>
      <w:pPr>
        <w:autoSpaceDE w:val="0"/>
        <w:snapToGrid w:val="0"/>
        <w:spacing w:line="360" w:lineRule="auto"/>
        <w:ind w:right="-103"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应编制施工组织设计，包括磋商文件第一章第二部分“响应须知”第11项规定的施工组织设计基本内容。编制具体要求是：编制时应采用文字并结合图表形式说明各分部分项工程的施工方法；拟投入的主要施工机械设备情况、劳动力计划等；结合采购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pPr>
        <w:spacing w:line="360" w:lineRule="auto"/>
        <w:rPr>
          <w:rFonts w:ascii="仿宋" w:hAnsi="仿宋" w:eastAsia="仿宋" w:cs="仿宋"/>
          <w:color w:val="000000" w:themeColor="text1"/>
          <w:sz w:val="24"/>
          <w:szCs w:val="24"/>
          <w14:textFill>
            <w14:solidFill>
              <w14:schemeClr w14:val="tx1"/>
            </w14:solidFill>
          </w14:textFill>
        </w:rPr>
      </w:pPr>
    </w:p>
    <w:p>
      <w:pPr>
        <w:pStyle w:val="3"/>
        <w:pageBreakBefore/>
        <w:jc w:val="center"/>
        <w:rPr>
          <w:rFonts w:ascii="仿宋" w:hAnsi="仿宋" w:eastAsia="仿宋" w:cs="仿宋"/>
          <w:b w:val="0"/>
          <w:color w:val="000000" w:themeColor="text1"/>
          <w14:textFill>
            <w14:solidFill>
              <w14:schemeClr w14:val="tx1"/>
            </w14:solidFill>
          </w14:textFill>
        </w:rPr>
      </w:pPr>
      <w:bookmarkStart w:id="49" w:name="_Toc9539"/>
      <w:bookmarkStart w:id="50" w:name="_Toc535048521"/>
      <w:r>
        <w:rPr>
          <w:rFonts w:hint="eastAsia" w:ascii="仿宋" w:hAnsi="仿宋" w:eastAsia="仿宋" w:cs="仿宋"/>
          <w:b w:val="0"/>
          <w:color w:val="000000" w:themeColor="text1"/>
          <w14:textFill>
            <w14:solidFill>
              <w14:schemeClr w14:val="tx1"/>
            </w14:solidFill>
          </w14:textFill>
        </w:rPr>
        <w:t>第六章 具体评审办法</w:t>
      </w:r>
      <w:bookmarkEnd w:id="49"/>
      <w:bookmarkEnd w:id="50"/>
    </w:p>
    <w:p>
      <w:pPr>
        <w:autoSpaceDE w:val="0"/>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第一步：响应文件的符合性鉴定</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响应文件应实质性响应磋商文件的所有条款、条件，</w:t>
      </w:r>
      <w:r>
        <w:rPr>
          <w:rFonts w:hint="eastAsia" w:ascii="仿宋" w:hAnsi="仿宋" w:eastAsia="仿宋" w:cs="仿宋"/>
          <w:color w:val="000000" w:themeColor="text1"/>
          <w:spacing w:val="-6"/>
          <w:sz w:val="24"/>
          <w:szCs w:val="24"/>
          <w14:textFill>
            <w14:solidFill>
              <w14:schemeClr w14:val="tx1"/>
            </w14:solidFill>
          </w14:textFill>
        </w:rPr>
        <w:t>无显著的差异或保留</w:t>
      </w:r>
      <w:r>
        <w:rPr>
          <w:rFonts w:hint="eastAsia" w:ascii="仿宋" w:hAnsi="仿宋" w:eastAsia="仿宋" w:cs="仿宋"/>
          <w:color w:val="000000" w:themeColor="text1"/>
          <w:sz w:val="24"/>
          <w:szCs w:val="24"/>
          <w14:textFill>
            <w14:solidFill>
              <w14:schemeClr w14:val="tx1"/>
            </w14:solidFill>
          </w14:textFill>
        </w:rPr>
        <w:t>，按照磋商文件要求，无漏项和不合理的多项。本步骤主要考察以下内容：</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1）响应文件涂改、增删处应有授权代表签字；</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2）在质量标准、服务期限、发包范围及采购单位权力、供应商义务范围等方面应没有采购单位无法接受的保留条件；</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3）响应文件应有单位盖章并有法定代表人或法定代表人授权的代理人签字或盖章；</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4）响应文件内容齐全、关键字迹应清晰、便于辨认；</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5）本项目不接受多方案报价；</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6）供应商名称或企业组织机构与资格审查时应一致；</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7）应按磋商文件要求提交保证金。</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对某一供应商的鉴定中，若评委会认为某供应商有1项以上（包括1项）“不符合”，则该供应商不得进入下一步的评审。</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第二步：对响应文件的澄清</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评委全面审阅通过“符合性鉴定”的响应文件，当评委会认为需要时，可以对供应商响应文件中含义不明确、对同类问题表述不一致或者有明显文字和计算错误的内容作必要的澄清、说明或者补充。供应商应对其书面的形式进行澄清、说明或者补充，该书面的澄清、说明或者补充作为合同的组成部分；但不允许供应商更改响应报价或响应文件的实质性内容。</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第三步：综合评分</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各评委在充分审阅供应商响应文件的基础上，按照评分标准对每个供应商进行分项打分。</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第四步：名次评定及授标</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每个包按分数从高到低的顺序，选定两名成交候选人，采购单位原则上应选定排名第一的成交候选人为该包成交人。</w:t>
      </w:r>
    </w:p>
    <w:p>
      <w:pPr>
        <w:snapToGrid w:val="0"/>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注：对同一包而言，得分相同者，报价低的，名次在前；若报价也相同，则以技术响应更优者，名次在前。</w:t>
      </w:r>
    </w:p>
    <w:p>
      <w:pPr>
        <w:snapToGrid w:val="0"/>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成交条件：响应文件能最大限度的满足磋商文件要求，综合得分最高，且能履行合同者。</w:t>
      </w:r>
    </w:p>
    <w:p>
      <w:pPr>
        <w:spacing w:line="360" w:lineRule="auto"/>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评审办法</w:t>
      </w:r>
    </w:p>
    <w:tbl>
      <w:tblPr>
        <w:tblStyle w:val="17"/>
        <w:tblW w:w="10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825"/>
        <w:gridCol w:w="7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评分因素</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以满足磋商文件要求且最终报价最低的报价为评标基准价，其价格分为满分40分，其他供应商的价格分按照下列公式计算：报价得分=（评标基准价/最终报价）×40×100%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企业业绩</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自2016年1月1日以来已完成的同类项目业绩，每提供1份得1分，最多得8分（须提供合同原件，未提供原件不得分）。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工程保修期在满足磋商文件要求的基础上每延长一年的得1分，最多得2分。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施工材料</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1、根据工程材料品牌、产地、规格、型号标注的详细程度得0-2分；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2、供应商拟投入本项目施工所用的材料是否符合采购人要求及国家环保要求,质量可靠，并附有关证明材料。响应要求并根据所报材料的品牌、质量等，优得10-13分，良得6-9分，一般得1-5分；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3、按照磋商文件要求提供样品的齐全程度及样品质量，得0-5分</w:t>
            </w:r>
          </w:p>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如磋商文件中未要求提供样品，则本项得5分。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施工方案</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1、施工方案先进及合理情况0-3分；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2、工序安排合理情况 0-3分；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3、工期进度及控制点设置合理（结合施工横道图）,满足工期要求情况0-3分；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4、机械设备是否满足工程需要情况0-3分；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5、劳动力组织均衡情况0-3分；</w:t>
            </w:r>
          </w:p>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以上5项，磋商小组根据方案描述酌情打分。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质量保证措施</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质量保证措施、隐蔽工程验收方法、主动提供信息供接受甲方监督等进行评分，酌情得0-5分。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安全文明施工</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1、现场安全生产措施酌情得0-2分；</w:t>
            </w:r>
          </w:p>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2、现场文明施工措施酌情得0-2分。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服务承诺</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1、根据服务承诺的内容和保障措施优劣酌情得0-2分</w:t>
            </w:r>
          </w:p>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2、综合考虑供应商售后服务响应时间、服务体系、交货、运输、安装调试等内容，酌情得0-2分。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响应文件内容及询标答疑</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根据响应文件提供资料是否齐全，文字是否清晰，描述是否准确，询标答疑过程对磋商小组提出需澄清确认的问题答复是否完整、准确酌情得0-2分。</w:t>
            </w:r>
          </w:p>
        </w:tc>
      </w:tr>
    </w:tbl>
    <w:p>
      <w:pPr>
        <w:spacing w:line="360" w:lineRule="auto"/>
        <w:rPr>
          <w:rFonts w:ascii="仿宋" w:hAnsi="仿宋" w:eastAsia="仿宋"/>
          <w:sz w:val="24"/>
          <w:szCs w:val="24"/>
        </w:rPr>
      </w:pPr>
      <w:r>
        <w:rPr>
          <w:rFonts w:hint="eastAsia" w:ascii="仿宋" w:hAnsi="仿宋" w:eastAsia="仿宋"/>
          <w:sz w:val="24"/>
          <w:szCs w:val="24"/>
        </w:rPr>
        <w:t>说明：</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）供应商所提供的材料或者填写的内容必须真实、可靠，如有虚假或隐瞒，一经查实将导致投标被拒绝，给采购人造成损失的应承担赔偿责任。</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）以上评标标准中要求供应商提交相关证明材料原件（或复印件）的，未装订在响应文件中的不得分。</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）供应商以联合体的身份参与采购项目的，以商务部分加分最多的一家供应商的加分为商务部分的加分。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1.给予小型和微型企业价格扣除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给予小型和微型企业（包括相互之间组成的联合体）产品的价格6</w:t>
      </w:r>
      <w:r>
        <w:rPr>
          <w:rFonts w:ascii="仿宋" w:hAnsi="仿宋" w:eastAsia="仿宋"/>
          <w:sz w:val="24"/>
          <w:szCs w:val="24"/>
        </w:rPr>
        <w:t>%</w:t>
      </w:r>
      <w:r>
        <w:rPr>
          <w:rFonts w:hint="eastAsia" w:ascii="仿宋" w:hAnsi="仿宋" w:eastAsia="仿宋"/>
          <w:sz w:val="24"/>
          <w:szCs w:val="24"/>
        </w:rPr>
        <w:t>的扣除；计算方法是：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w:t>
      </w: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，按照最终价格计算其价格分得分。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开标时，供应商须提供《中小企业声明函》原件并对声明函的真实性负责，否则不给予价格扣除。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大中型企业和其他自然人、法人或者其他组织与小型、微型企业组成联合体投标，联合协议中约定，小型、微型企业的协议合同金额占到联合体协议合同金额</w:t>
      </w:r>
      <w:r>
        <w:rPr>
          <w:rFonts w:ascii="仿宋" w:hAnsi="仿宋" w:eastAsia="仿宋"/>
          <w:sz w:val="24"/>
          <w:szCs w:val="24"/>
        </w:rPr>
        <w:t>30%</w:t>
      </w:r>
      <w:r>
        <w:rPr>
          <w:rFonts w:hint="eastAsia" w:ascii="仿宋" w:hAnsi="仿宋" w:eastAsia="仿宋"/>
          <w:sz w:val="24"/>
          <w:szCs w:val="24"/>
        </w:rPr>
        <w:t>以上的，可给予联合体</w:t>
      </w:r>
      <w:r>
        <w:rPr>
          <w:rFonts w:ascii="仿宋" w:hAnsi="仿宋" w:eastAsia="仿宋"/>
          <w:sz w:val="24"/>
          <w:szCs w:val="24"/>
        </w:rPr>
        <w:t>3%</w:t>
      </w:r>
      <w:r>
        <w:rPr>
          <w:rFonts w:hint="eastAsia" w:ascii="仿宋" w:hAnsi="仿宋" w:eastAsia="仿宋"/>
          <w:sz w:val="24"/>
          <w:szCs w:val="24"/>
        </w:rPr>
        <w:t>的价格扣除。计算方法是：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97%</w:t>
      </w:r>
      <w:r>
        <w:rPr>
          <w:rFonts w:hint="eastAsia" w:ascii="仿宋" w:hAnsi="仿宋" w:eastAsia="仿宋"/>
          <w:sz w:val="24"/>
          <w:szCs w:val="24"/>
        </w:rPr>
        <w:t>，按照最终价格计算其价格分得分。</w:t>
      </w:r>
    </w:p>
    <w:p>
      <w:pPr>
        <w:spacing w:line="360" w:lineRule="auto"/>
        <w:rPr>
          <w:rFonts w:ascii="仿宋" w:hAnsi="仿宋" w:eastAsia="仿宋" w:cs="仿宋"/>
          <w:color w:val="000000" w:themeColor="text1"/>
          <w:sz w:val="24"/>
          <w:szCs w:val="24"/>
          <w14:textFill>
            <w14:solidFill>
              <w14:schemeClr w14:val="tx1"/>
            </w14:solidFill>
          </w14:textFill>
        </w:rPr>
        <w:sectPr>
          <w:headerReference r:id="rId3" w:type="default"/>
          <w:footerReference r:id="rId4" w:type="default"/>
          <w:pgSz w:w="11907" w:h="16840"/>
          <w:pgMar w:top="1247" w:right="1418" w:bottom="1247" w:left="1622" w:header="851" w:footer="851" w:gutter="0"/>
          <w:cols w:space="720" w:num="1"/>
          <w:docGrid w:linePitch="381" w:charSpace="-3931"/>
        </w:sectPr>
      </w:pPr>
      <w:r>
        <w:rPr>
          <w:rFonts w:hint="eastAsia" w:ascii="仿宋" w:hAnsi="仿宋" w:eastAsia="仿宋"/>
          <w:sz w:val="24"/>
          <w:szCs w:val="24"/>
        </w:rPr>
        <w:t>开标时，供应商须提供《中小企业声明函》原件并对声明函的真实性负责和联合体协议原件。</w:t>
      </w:r>
    </w:p>
    <w:p>
      <w:pPr>
        <w:pStyle w:val="3"/>
        <w:pageBreakBefore/>
        <w:spacing w:before="0" w:after="0" w:line="480" w:lineRule="exact"/>
        <w:jc w:val="center"/>
        <w:rPr>
          <w:rFonts w:ascii="仿宋" w:hAnsi="仿宋" w:eastAsia="仿宋" w:cs="仿宋"/>
          <w:b w:val="0"/>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bookmarkStart w:id="51" w:name="_Toc17222"/>
      <w:r>
        <w:rPr>
          <w:rFonts w:hint="eastAsia" w:ascii="仿宋" w:hAnsi="仿宋" w:eastAsia="仿宋" w:cs="仿宋"/>
          <w:b w:val="0"/>
          <w:color w:val="000000" w:themeColor="text1"/>
          <w14:textFill>
            <w14:solidFill>
              <w14:schemeClr w14:val="tx1"/>
            </w14:solidFill>
          </w14:textFill>
        </w:rPr>
        <w:t>第七章  响应文件格式</w:t>
      </w:r>
      <w:bookmarkEnd w:id="51"/>
    </w:p>
    <w:p>
      <w:pPr>
        <w:spacing w:line="48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附件1：</w:t>
      </w:r>
    </w:p>
    <w:p>
      <w:pPr>
        <w:spacing w:before="100" w:beforeAutospacing="1" w:after="100" w:afterAutospacing="1" w:line="440" w:lineRule="exact"/>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在经营活动中没有重大违法记录的书面声明</w:t>
      </w:r>
    </w:p>
    <w:p>
      <w:pPr>
        <w:spacing w:line="440" w:lineRule="exact"/>
        <w:jc w:val="center"/>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我方在参加（项目名称）采购活动前3年内，我方被公开披露或查处的违法违规行为有：，但在经营活动中没有重大违法记录（重大违法记录指</w:t>
      </w:r>
      <w:r>
        <w:rPr>
          <w:rFonts w:hint="eastAsia" w:ascii="仿宋" w:hAnsi="仿宋" w:eastAsia="仿宋" w:cs="仿宋"/>
          <w:color w:val="000000" w:themeColor="text1"/>
          <w:kern w:val="0"/>
          <w:sz w:val="24"/>
          <w:szCs w:val="24"/>
          <w14:textFill>
            <w14:solidFill>
              <w14:schemeClr w14:val="tx1"/>
            </w14:solidFill>
          </w14:textFill>
        </w:rPr>
        <w:t>供应商因违法经营受到刑事处罚或者责令停产停业、吊销许可证或者执照、较大数额罚款等行政处罚）</w:t>
      </w:r>
      <w:r>
        <w:rPr>
          <w:rFonts w:hint="eastAsia" w:ascii="仿宋" w:hAnsi="仿宋" w:eastAsia="仿宋" w:cs="仿宋"/>
          <w:color w:val="000000" w:themeColor="text1"/>
          <w:sz w:val="24"/>
          <w:szCs w:val="24"/>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108" w:firstLineChars="171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  应  商：（盖单位公章）</w:t>
      </w:r>
    </w:p>
    <w:p>
      <w:pPr>
        <w:spacing w:line="440" w:lineRule="exact"/>
        <w:ind w:firstLine="4108" w:firstLineChars="171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法定代表人：（签字或盖章）</w:t>
      </w:r>
    </w:p>
    <w:p>
      <w:pPr>
        <w:spacing w:line="440" w:lineRule="exact"/>
        <w:ind w:firstLine="4108" w:firstLineChars="171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      期：年月日</w:t>
      </w: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备注：供应商没有被公开披露或查处违法违规行为的，注明“无”即可。</w:t>
      </w:r>
    </w:p>
    <w:p>
      <w:pPr>
        <w:widowControl/>
        <w:suppressAutoHyphens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widowControl/>
        <w:autoSpaceDE w:val="0"/>
        <w:autoSpaceDN w:val="0"/>
        <w:adjustRightInd w:val="0"/>
        <w:spacing w:line="440" w:lineRule="exact"/>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附件2：</w:t>
      </w:r>
    </w:p>
    <w:p>
      <w:pPr>
        <w:widowControl/>
        <w:autoSpaceDE w:val="0"/>
        <w:autoSpaceDN w:val="0"/>
        <w:adjustRightInd w:val="0"/>
        <w:spacing w:line="440" w:lineRule="exact"/>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采购诚信承诺书</w:t>
      </w:r>
    </w:p>
    <w:p>
      <w:pPr>
        <w:widowControl/>
        <w:autoSpaceDE w:val="0"/>
        <w:autoSpaceDN w:val="0"/>
        <w:adjustRightInd w:val="0"/>
        <w:spacing w:line="440" w:lineRule="exact"/>
        <w:rPr>
          <w:rFonts w:ascii="仿宋" w:hAnsi="仿宋" w:eastAsia="仿宋" w:cs="仿宋"/>
          <w:bCs/>
          <w:color w:val="000000" w:themeColor="text1"/>
          <w:sz w:val="24"/>
          <w:szCs w:val="24"/>
          <w14:textFill>
            <w14:solidFill>
              <w14:schemeClr w14:val="tx1"/>
            </w14:solidFill>
          </w14:textFill>
        </w:rPr>
      </w:pPr>
    </w:p>
    <w:p>
      <w:pPr>
        <w:widowControl/>
        <w:autoSpaceDE w:val="0"/>
        <w:autoSpaceDN w:val="0"/>
        <w:adjustRightIn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（采购人）</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（采购代理机构）</w:t>
      </w:r>
      <w:r>
        <w:rPr>
          <w:rFonts w:hint="eastAsia" w:ascii="仿宋" w:hAnsi="仿宋" w:eastAsia="仿宋" w:cs="仿宋"/>
          <w:color w:val="000000" w:themeColor="text1"/>
          <w:sz w:val="24"/>
          <w:szCs w:val="24"/>
          <w14:textFill>
            <w14:solidFill>
              <w14:schemeClr w14:val="tx1"/>
            </w14:solidFill>
          </w14:textFill>
        </w:rPr>
        <w:t>：</w:t>
      </w:r>
    </w:p>
    <w:p>
      <w:pPr>
        <w:widowControl/>
        <w:autoSpaceDE w:val="0"/>
        <w:autoSpaceDN w:val="0"/>
        <w:adjustRightInd w:val="0"/>
        <w:spacing w:line="440" w:lineRule="exact"/>
        <w:ind w:firstLine="480"/>
        <w:rPr>
          <w:rFonts w:ascii="仿宋" w:hAnsi="仿宋" w:eastAsia="仿宋"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我公司（供应商名称）已详细阅读了项目（项目编号：）磋商文件，自愿参加本次投标，现就有关事项做出郑重承诺如下：</w:t>
      </w:r>
    </w:p>
    <w:p>
      <w:pPr>
        <w:widowControl/>
        <w:autoSpaceDE w:val="0"/>
        <w:autoSpaceDN w:val="0"/>
        <w:adjustRightInd w:val="0"/>
        <w:spacing w:line="440" w:lineRule="exact"/>
        <w:ind w:firstLine="480"/>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440" w:lineRule="exact"/>
        <w:ind w:firstLine="480"/>
        <w:rPr>
          <w:rFonts w:ascii="仿宋" w:hAnsi="仿宋" w:eastAsia="仿宋"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二、遵纪守法，公平竞争。不与其他供应商相互串通、</w:t>
      </w:r>
      <w:r>
        <w:rPr>
          <w:rFonts w:hint="eastAsia" w:ascii="仿宋" w:hAnsi="仿宋" w:eastAsia="仿宋" w:cs="仿宋"/>
          <w:color w:val="000000" w:themeColor="text1"/>
          <w:kern w:val="0"/>
          <w:sz w:val="24"/>
          <w:szCs w:val="24"/>
          <w14:textFill>
            <w14:solidFill>
              <w14:schemeClr w14:val="tx1"/>
            </w14:solidFill>
          </w14:textFill>
        </w:rPr>
        <w:t>哄抬价格，</w:t>
      </w:r>
      <w:r>
        <w:rPr>
          <w:rStyle w:val="39"/>
          <w:rFonts w:hint="eastAsia" w:cs="仿宋"/>
          <w:color w:val="000000" w:themeColor="text1"/>
          <w:sz w:val="24"/>
          <w:szCs w:val="24"/>
          <w14:textFill>
            <w14:solidFill>
              <w14:schemeClr w14:val="tx1"/>
            </w14:solidFill>
          </w14:textFill>
        </w:rPr>
        <w:t>不排挤其他供应商，不损害采购人的合法权益；不向评标委员会、采购人提供利益以牟取中标。</w:t>
      </w:r>
    </w:p>
    <w:p>
      <w:pPr>
        <w:widowControl/>
        <w:autoSpaceDE w:val="0"/>
        <w:autoSpaceDN w:val="0"/>
        <w:adjustRightInd w:val="0"/>
        <w:spacing w:line="440" w:lineRule="exact"/>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若中标后，将按照规定及时与采购人签订采购合同，不与采购人订立有悖于采购结果的合同或协议；严格履行采购合同，不降低合同约定的产品质量和服务，不擅自变更、中止、终止合同，或者拒绝履行合同义务；</w:t>
      </w:r>
    </w:p>
    <w:p>
      <w:pPr>
        <w:widowControl/>
        <w:autoSpaceDE w:val="0"/>
        <w:autoSpaceDN w:val="0"/>
        <w:adjustRightInd w:val="0"/>
        <w:spacing w:line="440" w:lineRule="exact"/>
        <w:ind w:firstLine="480"/>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若有违反以上承诺内容的行为，我公司自愿接受取消投标资格、记入信用档案、没收保证金、媒体通报、1-3年内禁止参与采购等处罚；如已中标的，自动放弃中标资格，并承担全部法律责任；给采购人造成损失的，依法承担赔偿责任。</w:t>
      </w:r>
    </w:p>
    <w:p>
      <w:pPr>
        <w:widowControl/>
        <w:autoSpaceDE w:val="0"/>
        <w:autoSpaceDN w:val="0"/>
        <w:adjustRightInd w:val="0"/>
        <w:spacing w:line="440" w:lineRule="exact"/>
        <w:ind w:right="-481" w:firstLine="420"/>
        <w:rPr>
          <w:rFonts w:ascii="仿宋" w:hAnsi="仿宋" w:eastAsia="仿宋" w:cs="仿宋"/>
          <w:color w:val="000000" w:themeColor="text1"/>
          <w:sz w:val="24"/>
          <w:szCs w:val="24"/>
          <w14:textFill>
            <w14:solidFill>
              <w14:schemeClr w14:val="tx1"/>
            </w14:solidFill>
          </w14:textFill>
        </w:rPr>
      </w:pPr>
    </w:p>
    <w:p>
      <w:pPr>
        <w:widowControl/>
        <w:autoSpaceDE w:val="0"/>
        <w:autoSpaceDN w:val="0"/>
        <w:adjustRightInd w:val="0"/>
        <w:spacing w:line="440" w:lineRule="exact"/>
        <w:ind w:right="-481"/>
        <w:rPr>
          <w:rFonts w:ascii="仿宋" w:hAnsi="仿宋" w:eastAsia="仿宋" w:cs="仿宋"/>
          <w:color w:val="000000" w:themeColor="text1"/>
          <w:sz w:val="24"/>
          <w:szCs w:val="24"/>
          <w14:textFill>
            <w14:solidFill>
              <w14:schemeClr w14:val="tx1"/>
            </w14:solidFill>
          </w14:textFill>
        </w:rPr>
      </w:pPr>
    </w:p>
    <w:p>
      <w:pPr>
        <w:widowControl/>
        <w:autoSpaceDE w:val="0"/>
        <w:autoSpaceDN w:val="0"/>
        <w:adjustRightInd w:val="0"/>
        <w:spacing w:line="440" w:lineRule="exact"/>
        <w:ind w:right="-481"/>
        <w:rPr>
          <w:rFonts w:ascii="仿宋" w:hAnsi="仿宋" w:eastAsia="仿宋" w:cs="仿宋"/>
          <w:color w:val="000000" w:themeColor="text1"/>
          <w:sz w:val="24"/>
          <w:szCs w:val="24"/>
          <w14:textFill>
            <w14:solidFill>
              <w14:schemeClr w14:val="tx1"/>
            </w14:solidFill>
          </w14:textFill>
        </w:rPr>
      </w:pPr>
    </w:p>
    <w:p>
      <w:pPr>
        <w:widowControl/>
        <w:autoSpaceDE w:val="0"/>
        <w:autoSpaceDN w:val="0"/>
        <w:adjustRightInd w:val="0"/>
        <w:spacing w:line="440" w:lineRule="exact"/>
        <w:ind w:right="-481"/>
        <w:rPr>
          <w:rFonts w:ascii="仿宋" w:hAnsi="仿宋" w:eastAsia="仿宋" w:cs="仿宋"/>
          <w:color w:val="000000" w:themeColor="text1"/>
          <w:sz w:val="24"/>
          <w:szCs w:val="24"/>
          <w14:textFill>
            <w14:solidFill>
              <w14:schemeClr w14:val="tx1"/>
            </w14:solidFill>
          </w14:textFill>
        </w:rPr>
      </w:pPr>
    </w:p>
    <w:p>
      <w:pPr>
        <w:widowControl/>
        <w:autoSpaceDE w:val="0"/>
        <w:autoSpaceDN w:val="0"/>
        <w:adjustRightInd w:val="0"/>
        <w:spacing w:line="440" w:lineRule="exact"/>
        <w:ind w:right="-481"/>
        <w:jc w:val="center"/>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供应商名称(盖公章)：</w:t>
      </w:r>
    </w:p>
    <w:p>
      <w:pPr>
        <w:widowControl/>
        <w:autoSpaceDE w:val="0"/>
        <w:autoSpaceDN w:val="0"/>
        <w:adjustRightInd w:val="0"/>
        <w:spacing w:line="440" w:lineRule="exact"/>
        <w:ind w:right="-481"/>
        <w:jc w:val="center"/>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法定代表人（签字）：</w:t>
      </w:r>
    </w:p>
    <w:p>
      <w:pPr>
        <w:widowControl/>
        <w:autoSpaceDE w:val="0"/>
        <w:autoSpaceDN w:val="0"/>
        <w:adjustRightInd w:val="0"/>
        <w:spacing w:line="440" w:lineRule="exact"/>
        <w:ind w:right="-481" w:firstLine="720"/>
        <w:jc w:val="center"/>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年月日</w:t>
      </w: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widowControl/>
        <w:suppressAutoHyphens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napToGrid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勘察现场登记表</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年   月   日</w:t>
      </w:r>
    </w:p>
    <w:tbl>
      <w:tblPr>
        <w:tblStyle w:val="17"/>
        <w:tblW w:w="8533" w:type="dxa"/>
        <w:tblInd w:w="-5" w:type="dxa"/>
        <w:tblLayout w:type="fixed"/>
        <w:tblCellMar>
          <w:top w:w="0" w:type="dxa"/>
          <w:left w:w="108" w:type="dxa"/>
          <w:bottom w:w="0" w:type="dxa"/>
          <w:right w:w="108" w:type="dxa"/>
        </w:tblCellMar>
      </w:tblPr>
      <w:tblGrid>
        <w:gridCol w:w="3917"/>
        <w:gridCol w:w="4616"/>
      </w:tblGrid>
      <w:tr>
        <w:tblPrEx>
          <w:tblLayout w:type="fixed"/>
          <w:tblCellMar>
            <w:top w:w="0" w:type="dxa"/>
            <w:left w:w="108" w:type="dxa"/>
            <w:bottom w:w="0" w:type="dxa"/>
            <w:right w:w="108" w:type="dxa"/>
          </w:tblCellMar>
        </w:tblPrEx>
        <w:trPr>
          <w:trHeight w:val="858"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960"/>
              </w:tabs>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r>
      <w:tr>
        <w:tblPrEx>
          <w:tblLayout w:type="fixed"/>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p>
        </w:tc>
      </w:tr>
      <w:tr>
        <w:tblPrEx>
          <w:tblLayout w:type="fixed"/>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项目包号：</w:t>
            </w:r>
          </w:p>
        </w:tc>
      </w:tr>
      <w:tr>
        <w:tblPrEx>
          <w:tblLayout w:type="fixed"/>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勘察地点：</w:t>
            </w:r>
          </w:p>
        </w:tc>
      </w:tr>
      <w:tr>
        <w:tblPrEx>
          <w:tblLayout w:type="fixed"/>
          <w:tblCellMar>
            <w:top w:w="0" w:type="dxa"/>
            <w:left w:w="108" w:type="dxa"/>
            <w:bottom w:w="0" w:type="dxa"/>
            <w:right w:w="108" w:type="dxa"/>
          </w:tblCellMar>
        </w:tblPrEx>
        <w:trPr>
          <w:trHeight w:val="886"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采购单位：</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参加人员签名：</w:t>
            </w:r>
          </w:p>
        </w:tc>
      </w:tr>
      <w:tr>
        <w:tblPrEx>
          <w:tblLayout w:type="fixed"/>
          <w:tblCellMar>
            <w:top w:w="0" w:type="dxa"/>
            <w:left w:w="108" w:type="dxa"/>
            <w:bottom w:w="0" w:type="dxa"/>
            <w:right w:w="108" w:type="dxa"/>
          </w:tblCellMar>
        </w:tblPrEx>
        <w:trPr>
          <w:trHeight w:val="914"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参加人员签名：</w:t>
            </w:r>
          </w:p>
        </w:tc>
      </w:tr>
    </w:tbl>
    <w:p>
      <w:pPr>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本项目勘察现场供应商需进行签字确认。登记表原件胶装在正本，复印件胶装在副本。</w:t>
      </w:r>
      <w:r>
        <w:rPr>
          <w:rFonts w:hint="eastAsia" w:ascii="仿宋" w:hAnsi="仿宋" w:eastAsia="仿宋" w:cs="仿宋"/>
          <w:color w:val="000000" w:themeColor="text1"/>
          <w:sz w:val="24"/>
          <w:szCs w:val="24"/>
          <w14:textFill>
            <w14:solidFill>
              <w14:schemeClr w14:val="tx1"/>
            </w14:solidFill>
          </w14:textFill>
        </w:rPr>
        <w:t xml:space="preserve"> </w:t>
      </w:r>
    </w:p>
    <w:p>
      <w:pPr>
        <w:snapToGrid w:val="0"/>
        <w:spacing w:line="360" w:lineRule="auto"/>
        <w:ind w:firstLine="482"/>
        <w:rPr>
          <w:rFonts w:ascii="仿宋" w:hAnsi="仿宋" w:eastAsia="仿宋" w:cs="仿宋"/>
          <w:color w:val="000000" w:themeColor="text1"/>
          <w:sz w:val="24"/>
          <w:szCs w:val="24"/>
          <w14:textFill>
            <w14:solidFill>
              <w14:schemeClr w14:val="tx1"/>
            </w14:solidFill>
          </w14:textFill>
        </w:rPr>
      </w:pPr>
    </w:p>
    <w:p>
      <w:pPr>
        <w:snapToGrid w:val="0"/>
        <w:spacing w:line="360" w:lineRule="auto"/>
        <w:ind w:firstLine="482"/>
        <w:rPr>
          <w:rFonts w:ascii="仿宋" w:hAnsi="仿宋" w:eastAsia="仿宋" w:cs="仿宋"/>
          <w:color w:val="000000" w:themeColor="text1"/>
          <w:sz w:val="24"/>
          <w:szCs w:val="24"/>
          <w14:textFill>
            <w14:solidFill>
              <w14:schemeClr w14:val="tx1"/>
            </w14:solidFill>
          </w14:textFill>
        </w:rPr>
      </w:pPr>
    </w:p>
    <w:p>
      <w:pPr>
        <w:pageBreakBefore/>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保证金退还申请表</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公司名称（公章）：                              时间：</w:t>
      </w:r>
    </w:p>
    <w:tbl>
      <w:tblPr>
        <w:tblStyle w:val="17"/>
        <w:tblW w:w="8283" w:type="dxa"/>
        <w:tblInd w:w="108" w:type="dxa"/>
        <w:tblLayout w:type="fixed"/>
        <w:tblCellMar>
          <w:top w:w="0" w:type="dxa"/>
          <w:left w:w="108" w:type="dxa"/>
          <w:bottom w:w="0" w:type="dxa"/>
          <w:right w:w="108" w:type="dxa"/>
        </w:tblCellMar>
      </w:tblPr>
      <w:tblGrid>
        <w:gridCol w:w="3960"/>
        <w:gridCol w:w="4323"/>
      </w:tblGrid>
      <w:tr>
        <w:tblPrEx>
          <w:tblLayout w:type="fixed"/>
          <w:tblCellMar>
            <w:top w:w="0" w:type="dxa"/>
            <w:left w:w="108" w:type="dxa"/>
            <w:bottom w:w="0" w:type="dxa"/>
            <w:right w:w="108" w:type="dxa"/>
          </w:tblCellMar>
        </w:tblPrEx>
        <w:trPr>
          <w:trHeight w:val="768" w:hRule="atLeast"/>
        </w:trPr>
        <w:tc>
          <w:tcPr>
            <w:tcW w:w="3960" w:type="dxa"/>
            <w:tcBorders>
              <w:top w:val="single" w:color="000000" w:sz="4" w:space="0"/>
              <w:left w:val="single" w:color="000000" w:sz="4" w:space="0"/>
              <w:bottom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4323" w:type="dxa"/>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p>
        </w:tc>
      </w:tr>
      <w:tr>
        <w:tblPrEx>
          <w:tblLayout w:type="fixed"/>
          <w:tblCellMar>
            <w:top w:w="0" w:type="dxa"/>
            <w:left w:w="108" w:type="dxa"/>
            <w:bottom w:w="0" w:type="dxa"/>
            <w:right w:w="108" w:type="dxa"/>
          </w:tblCellMar>
        </w:tblPrEx>
        <w:trPr>
          <w:trHeight w:val="760"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所响应段：</w:t>
            </w:r>
          </w:p>
        </w:tc>
      </w:tr>
      <w:tr>
        <w:tblPrEx>
          <w:tblLayout w:type="fixed"/>
          <w:tblCellMar>
            <w:top w:w="0" w:type="dxa"/>
            <w:left w:w="108" w:type="dxa"/>
            <w:bottom w:w="0" w:type="dxa"/>
            <w:right w:w="108" w:type="dxa"/>
          </w:tblCellMar>
        </w:tblPrEx>
        <w:trPr>
          <w:trHeight w:val="776"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交纳保证金时间: </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交纳保证金方式（现金/电汇）:</w:t>
            </w:r>
          </w:p>
        </w:tc>
      </w:tr>
      <w:tr>
        <w:tblPrEx>
          <w:tblLayout w:type="fixed"/>
          <w:tblCellMar>
            <w:top w:w="0" w:type="dxa"/>
            <w:left w:w="108" w:type="dxa"/>
            <w:bottom w:w="0" w:type="dxa"/>
            <w:right w:w="108" w:type="dxa"/>
          </w:tblCellMar>
        </w:tblPrEx>
        <w:trPr>
          <w:trHeight w:val="924"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交纳保证金金额：小写：</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大写：</w:t>
            </w:r>
          </w:p>
        </w:tc>
      </w:tr>
      <w:tr>
        <w:tblPrEx>
          <w:tblLayout w:type="fixed"/>
          <w:tblCellMar>
            <w:top w:w="0" w:type="dxa"/>
            <w:left w:w="108" w:type="dxa"/>
            <w:bottom w:w="0" w:type="dxa"/>
            <w:right w:w="108" w:type="dxa"/>
          </w:tblCellMar>
        </w:tblPrEx>
        <w:trPr>
          <w:trHeight w:val="935"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退付保证金金额：小写：</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大写：</w:t>
            </w:r>
          </w:p>
        </w:tc>
      </w:tr>
      <w:tr>
        <w:tblPrEx>
          <w:tblLayout w:type="fixed"/>
          <w:tblCellMar>
            <w:top w:w="0" w:type="dxa"/>
            <w:left w:w="108" w:type="dxa"/>
            <w:bottom w:w="0" w:type="dxa"/>
            <w:right w:w="108" w:type="dxa"/>
          </w:tblCellMar>
        </w:tblPrEx>
        <w:trPr>
          <w:trHeight w:val="3256"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退付保证金账号</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账户：</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账号：</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w:t>
            </w:r>
          </w:p>
          <w:p>
            <w:pPr>
              <w:spacing w:line="360" w:lineRule="auto"/>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96"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                        联系电话：</w:t>
            </w:r>
          </w:p>
        </w:tc>
      </w:tr>
    </w:tbl>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注：1、开标结束后，请务必将此表填写完整发到山东盛和招标代理有限公司邮箱（shzbqdb@163.com）,邮件命名为：保证金退还-项目名称-项目编号-公司名称。我们会尽快办理保证金退还事宜。</w:t>
      </w:r>
    </w:p>
    <w:p>
      <w:pPr>
        <w:pStyle w:val="4"/>
        <w:rPr>
          <w:rFonts w:ascii="仿宋" w:hAnsi="仿宋" w:eastAsia="仿宋" w:cs="仿宋"/>
          <w:b w:val="0"/>
          <w:color w:val="000000" w:themeColor="text1"/>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br w:type="page"/>
      </w:r>
      <w:bookmarkStart w:id="52" w:name="_Toc535048522"/>
      <w:bookmarkStart w:id="53" w:name="_Toc8916"/>
      <w:r>
        <w:rPr>
          <w:rFonts w:hint="eastAsia" w:ascii="仿宋" w:hAnsi="仿宋" w:eastAsia="仿宋" w:cs="仿宋"/>
          <w:b w:val="0"/>
          <w:color w:val="000000" w:themeColor="text1"/>
          <w14:textFill>
            <w14:solidFill>
              <w14:schemeClr w14:val="tx1"/>
            </w14:solidFill>
          </w14:textFill>
        </w:rPr>
        <w:t>密封件封面格式</w:t>
      </w:r>
      <w:bookmarkEnd w:id="52"/>
      <w:bookmarkEnd w:id="53"/>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7"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40"/>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36"/>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报价一览表</w:t>
            </w:r>
          </w:p>
          <w:p>
            <w:pPr>
              <w:pStyle w:val="8"/>
              <w:spacing w:line="240" w:lineRule="auto"/>
              <w:ind w:firstLine="0" w:firstLineChars="0"/>
              <w:jc w:val="center"/>
              <w:rPr>
                <w:rFonts w:ascii="仿宋" w:hAnsi="仿宋" w:eastAsia="仿宋" w:cs="仿宋"/>
                <w:color w:val="000000" w:themeColor="text1"/>
                <w:sz w:val="36"/>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jc w:val="center"/>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p>
            <w:pPr>
              <w:pStyle w:val="8"/>
              <w:spacing w:line="240" w:lineRule="auto"/>
              <w:ind w:firstLine="0" w:firstLineChars="0"/>
              <w:jc w:val="center"/>
              <w:rPr>
                <w:rFonts w:ascii="仿宋" w:hAnsi="仿宋" w:eastAsia="仿宋" w:cs="仿宋"/>
                <w:color w:val="000000" w:themeColor="text1"/>
                <w:sz w:val="40"/>
                <w14:textFill>
                  <w14:solidFill>
                    <w14:schemeClr w14:val="tx1"/>
                  </w14:solidFill>
                </w14:textFill>
              </w:rPr>
            </w:pPr>
          </w:p>
        </w:tc>
      </w:tr>
    </w:tbl>
    <w:p>
      <w:pPr>
        <w:rPr>
          <w:rFonts w:ascii="仿宋" w:hAnsi="仿宋" w:eastAsia="仿宋" w:cs="仿宋"/>
          <w:vanish/>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Y="563"/>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8"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4"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r>
              <w:rPr>
                <w:rFonts w:hint="eastAsia" w:ascii="仿宋" w:hAnsi="仿宋" w:eastAsia="仿宋" w:cs="仿宋"/>
                <w:color w:val="000000" w:themeColor="text1"/>
                <w:sz w:val="52"/>
                <w:szCs w:val="52"/>
                <w14:textFill>
                  <w14:solidFill>
                    <w14:schemeClr w14:val="tx1"/>
                  </w14:solidFill>
                </w14:textFill>
              </w:rPr>
              <w:t>响应文件</w:t>
            </w: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正本</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tc>
      </w:tr>
    </w:tbl>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Y="39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8"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474"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响应文件</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副本</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tc>
      </w:tr>
    </w:tbl>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Y="139"/>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8"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vanish/>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474"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资质证明文件</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tc>
      </w:tr>
    </w:tbl>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Y="35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8"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vanish/>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64"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响应文件</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（电子版）</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44"/>
                <w:szCs w:val="52"/>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tc>
      </w:tr>
    </w:tbl>
    <w:p>
      <w:pPr>
        <w:rPr>
          <w:rFonts w:ascii="仿宋" w:hAnsi="仿宋" w:eastAsia="仿宋" w:cs="仿宋"/>
          <w:vanish/>
          <w:color w:val="000000" w:themeColor="text1"/>
          <w14:textFill>
            <w14:solidFill>
              <w14:schemeClr w14:val="tx1"/>
            </w14:solidFill>
          </w14:textFill>
        </w:rPr>
      </w:pPr>
    </w:p>
    <w:tbl>
      <w:tblPr>
        <w:tblStyle w:val="17"/>
        <w:tblpPr w:leftFromText="180" w:rightFromText="180" w:vertAnchor="text" w:horzAnchor="margin" w:tblpY="10693"/>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color w:val="000000" w:themeColor="text1"/>
          <w14:textFill>
            <w14:solidFill>
              <w14:schemeClr w14:val="tx1"/>
            </w14:solidFill>
          </w14:textFill>
        </w:rPr>
      </w:pPr>
    </w:p>
    <w:sectPr>
      <w:pgSz w:w="11907" w:h="16840"/>
      <w:pgMar w:top="1247" w:right="1418" w:bottom="1247" w:left="1622"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jc w:val="both"/>
    </w:pPr>
    <w:r>
      <w:rPr>
        <w:kern w:val="0"/>
      </w:rPr>
      <w:drawing>
        <wp:inline distT="0" distB="0" distL="0" distR="0">
          <wp:extent cx="390525" cy="390525"/>
          <wp:effectExtent l="0" t="0" r="9525" b="9525"/>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0525" cy="390525"/>
                  </a:xfrm>
                  <a:prstGeom prst="rect">
                    <a:avLst/>
                  </a:prstGeom>
                  <a:noFill/>
                  <a:ln>
                    <a:noFill/>
                  </a:ln>
                </pic:spPr>
              </pic:pic>
            </a:graphicData>
          </a:graphic>
        </wp:inline>
      </w:drawing>
    </w:r>
    <w:r>
      <w:rPr>
        <w:rFonts w:hint="eastAsia"/>
      </w:rPr>
      <w:t>SDSHZB2019-398                                              山东盛和招标代理有限公司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E04"/>
    <w:multiLevelType w:val="multilevel"/>
    <w:tmpl w:val="03562E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CB2DF2"/>
    <w:multiLevelType w:val="multilevel"/>
    <w:tmpl w:val="16CB2DF2"/>
    <w:lvl w:ilvl="0" w:tentative="0">
      <w:start w:val="1"/>
      <w:numFmt w:val="chineseCountingThousand"/>
      <w:lvlText w:val="第%1条"/>
      <w:lvlJc w:val="left"/>
      <w:pPr>
        <w:tabs>
          <w:tab w:val="left" w:pos="720"/>
        </w:tabs>
        <w:ind w:left="720" w:hanging="720"/>
      </w:pPr>
      <w:rPr>
        <w:rFonts w:hint="eastAsia" w:eastAsia="黑体"/>
        <w:b w:val="0"/>
        <w:i w:val="0"/>
      </w:rPr>
    </w:lvl>
    <w:lvl w:ilvl="1" w:tentative="0">
      <w:start w:val="1"/>
      <w:numFmt w:val="decimal"/>
      <w:lvlText w:val="%2."/>
      <w:lvlJc w:val="left"/>
      <w:pPr>
        <w:tabs>
          <w:tab w:val="left" w:pos="510"/>
        </w:tabs>
        <w:ind w:left="0" w:firstLine="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9C13D5"/>
    <w:multiLevelType w:val="multilevel"/>
    <w:tmpl w:val="519C13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10"/>
    <w:rsid w:val="00000824"/>
    <w:rsid w:val="00027C0A"/>
    <w:rsid w:val="00030834"/>
    <w:rsid w:val="00046B4B"/>
    <w:rsid w:val="000549A3"/>
    <w:rsid w:val="000605B2"/>
    <w:rsid w:val="000626BB"/>
    <w:rsid w:val="00064B82"/>
    <w:rsid w:val="0006612F"/>
    <w:rsid w:val="0007304E"/>
    <w:rsid w:val="000A0BCC"/>
    <w:rsid w:val="000A60A1"/>
    <w:rsid w:val="000C11A6"/>
    <w:rsid w:val="000E0245"/>
    <w:rsid w:val="00100B09"/>
    <w:rsid w:val="001014BC"/>
    <w:rsid w:val="00105F8B"/>
    <w:rsid w:val="001130A7"/>
    <w:rsid w:val="00122BBF"/>
    <w:rsid w:val="00133F0A"/>
    <w:rsid w:val="0013579B"/>
    <w:rsid w:val="00153DBC"/>
    <w:rsid w:val="00155644"/>
    <w:rsid w:val="001A3654"/>
    <w:rsid w:val="001D6B35"/>
    <w:rsid w:val="001E1B49"/>
    <w:rsid w:val="001E34E3"/>
    <w:rsid w:val="00202F67"/>
    <w:rsid w:val="002472FC"/>
    <w:rsid w:val="00250D25"/>
    <w:rsid w:val="002535C6"/>
    <w:rsid w:val="002705A1"/>
    <w:rsid w:val="00280579"/>
    <w:rsid w:val="0028178F"/>
    <w:rsid w:val="002A5596"/>
    <w:rsid w:val="002D5351"/>
    <w:rsid w:val="002F2F3B"/>
    <w:rsid w:val="002F6DA6"/>
    <w:rsid w:val="00301276"/>
    <w:rsid w:val="00304A79"/>
    <w:rsid w:val="00307D5E"/>
    <w:rsid w:val="00330223"/>
    <w:rsid w:val="003374C8"/>
    <w:rsid w:val="00344FA4"/>
    <w:rsid w:val="0034672B"/>
    <w:rsid w:val="00347611"/>
    <w:rsid w:val="0035270A"/>
    <w:rsid w:val="00373ABC"/>
    <w:rsid w:val="0037572A"/>
    <w:rsid w:val="00384267"/>
    <w:rsid w:val="003861FB"/>
    <w:rsid w:val="00397C3F"/>
    <w:rsid w:val="003A19F6"/>
    <w:rsid w:val="003B64E8"/>
    <w:rsid w:val="003C4644"/>
    <w:rsid w:val="003D18E7"/>
    <w:rsid w:val="003E6490"/>
    <w:rsid w:val="00404EDF"/>
    <w:rsid w:val="004205F6"/>
    <w:rsid w:val="00420D4A"/>
    <w:rsid w:val="004575D8"/>
    <w:rsid w:val="00464BC1"/>
    <w:rsid w:val="00487063"/>
    <w:rsid w:val="004A13AF"/>
    <w:rsid w:val="004B0C77"/>
    <w:rsid w:val="004B76F1"/>
    <w:rsid w:val="004C0B24"/>
    <w:rsid w:val="004C347E"/>
    <w:rsid w:val="004C3540"/>
    <w:rsid w:val="004C718E"/>
    <w:rsid w:val="004E2107"/>
    <w:rsid w:val="004F6846"/>
    <w:rsid w:val="00504987"/>
    <w:rsid w:val="005137E1"/>
    <w:rsid w:val="00525D9A"/>
    <w:rsid w:val="00532735"/>
    <w:rsid w:val="005372C5"/>
    <w:rsid w:val="00542B88"/>
    <w:rsid w:val="00546E19"/>
    <w:rsid w:val="00573CEF"/>
    <w:rsid w:val="00583736"/>
    <w:rsid w:val="00587877"/>
    <w:rsid w:val="005D4A10"/>
    <w:rsid w:val="005E4CB5"/>
    <w:rsid w:val="005E55E6"/>
    <w:rsid w:val="005E58CE"/>
    <w:rsid w:val="00602C0C"/>
    <w:rsid w:val="006117DA"/>
    <w:rsid w:val="00617D1F"/>
    <w:rsid w:val="006327F3"/>
    <w:rsid w:val="00635A56"/>
    <w:rsid w:val="006447D7"/>
    <w:rsid w:val="00655522"/>
    <w:rsid w:val="006A3292"/>
    <w:rsid w:val="006D0B2C"/>
    <w:rsid w:val="006D140B"/>
    <w:rsid w:val="00701B05"/>
    <w:rsid w:val="007071ED"/>
    <w:rsid w:val="0072797A"/>
    <w:rsid w:val="00741856"/>
    <w:rsid w:val="00741DB9"/>
    <w:rsid w:val="00754DF5"/>
    <w:rsid w:val="0075579A"/>
    <w:rsid w:val="00761A28"/>
    <w:rsid w:val="00772AC9"/>
    <w:rsid w:val="00797214"/>
    <w:rsid w:val="007B0D3E"/>
    <w:rsid w:val="007C2A10"/>
    <w:rsid w:val="007D2E8E"/>
    <w:rsid w:val="007E4F96"/>
    <w:rsid w:val="00805B7A"/>
    <w:rsid w:val="008061FC"/>
    <w:rsid w:val="00814569"/>
    <w:rsid w:val="008171C2"/>
    <w:rsid w:val="008345FB"/>
    <w:rsid w:val="00835790"/>
    <w:rsid w:val="00840A88"/>
    <w:rsid w:val="00841AE1"/>
    <w:rsid w:val="00843B5F"/>
    <w:rsid w:val="00863B78"/>
    <w:rsid w:val="00870717"/>
    <w:rsid w:val="00870B9A"/>
    <w:rsid w:val="00881A9F"/>
    <w:rsid w:val="00890B76"/>
    <w:rsid w:val="008B38CE"/>
    <w:rsid w:val="008D2E7E"/>
    <w:rsid w:val="008D63E5"/>
    <w:rsid w:val="008D7ADE"/>
    <w:rsid w:val="008E7C16"/>
    <w:rsid w:val="00914015"/>
    <w:rsid w:val="00933F49"/>
    <w:rsid w:val="00945276"/>
    <w:rsid w:val="00960923"/>
    <w:rsid w:val="00971A84"/>
    <w:rsid w:val="009733F2"/>
    <w:rsid w:val="00974268"/>
    <w:rsid w:val="009760A8"/>
    <w:rsid w:val="00976C1A"/>
    <w:rsid w:val="00992B7A"/>
    <w:rsid w:val="009C7C4D"/>
    <w:rsid w:val="009D426A"/>
    <w:rsid w:val="00A113BD"/>
    <w:rsid w:val="00A323B5"/>
    <w:rsid w:val="00A32A9D"/>
    <w:rsid w:val="00A429EE"/>
    <w:rsid w:val="00A43912"/>
    <w:rsid w:val="00A54EC9"/>
    <w:rsid w:val="00A60E50"/>
    <w:rsid w:val="00A83799"/>
    <w:rsid w:val="00AB51B3"/>
    <w:rsid w:val="00AB6BF8"/>
    <w:rsid w:val="00AE3493"/>
    <w:rsid w:val="00AF32BC"/>
    <w:rsid w:val="00AF3561"/>
    <w:rsid w:val="00AF368C"/>
    <w:rsid w:val="00B1619E"/>
    <w:rsid w:val="00B36DC1"/>
    <w:rsid w:val="00B3717F"/>
    <w:rsid w:val="00B4287F"/>
    <w:rsid w:val="00B4597A"/>
    <w:rsid w:val="00B4673F"/>
    <w:rsid w:val="00B52268"/>
    <w:rsid w:val="00B60D55"/>
    <w:rsid w:val="00B6662F"/>
    <w:rsid w:val="00B75987"/>
    <w:rsid w:val="00B76AAD"/>
    <w:rsid w:val="00B770B2"/>
    <w:rsid w:val="00B8111B"/>
    <w:rsid w:val="00B823DC"/>
    <w:rsid w:val="00B854D5"/>
    <w:rsid w:val="00BA448B"/>
    <w:rsid w:val="00BA5E3E"/>
    <w:rsid w:val="00BD3D43"/>
    <w:rsid w:val="00BF0D09"/>
    <w:rsid w:val="00BF53A6"/>
    <w:rsid w:val="00BF7F92"/>
    <w:rsid w:val="00C31DDD"/>
    <w:rsid w:val="00C41A38"/>
    <w:rsid w:val="00C47530"/>
    <w:rsid w:val="00C62A2C"/>
    <w:rsid w:val="00C649EC"/>
    <w:rsid w:val="00C91473"/>
    <w:rsid w:val="00CA126D"/>
    <w:rsid w:val="00CA461A"/>
    <w:rsid w:val="00CA4CFD"/>
    <w:rsid w:val="00CD187D"/>
    <w:rsid w:val="00CD2E3D"/>
    <w:rsid w:val="00CD5958"/>
    <w:rsid w:val="00CD6BD7"/>
    <w:rsid w:val="00D02DB5"/>
    <w:rsid w:val="00D032B5"/>
    <w:rsid w:val="00D16808"/>
    <w:rsid w:val="00D2166C"/>
    <w:rsid w:val="00D4785D"/>
    <w:rsid w:val="00D61A0B"/>
    <w:rsid w:val="00D67BD6"/>
    <w:rsid w:val="00D91FD0"/>
    <w:rsid w:val="00D94A5C"/>
    <w:rsid w:val="00DA3CF1"/>
    <w:rsid w:val="00DB4A7C"/>
    <w:rsid w:val="00DF6AA3"/>
    <w:rsid w:val="00E077AE"/>
    <w:rsid w:val="00E15E31"/>
    <w:rsid w:val="00E27960"/>
    <w:rsid w:val="00E44B5D"/>
    <w:rsid w:val="00E4582C"/>
    <w:rsid w:val="00E4607D"/>
    <w:rsid w:val="00E55E01"/>
    <w:rsid w:val="00E82F16"/>
    <w:rsid w:val="00EB17A3"/>
    <w:rsid w:val="00EC1061"/>
    <w:rsid w:val="00EC6DFB"/>
    <w:rsid w:val="00EC75C6"/>
    <w:rsid w:val="00ED0FCE"/>
    <w:rsid w:val="00ED5B3A"/>
    <w:rsid w:val="00F32519"/>
    <w:rsid w:val="00F75B25"/>
    <w:rsid w:val="00F80226"/>
    <w:rsid w:val="00F92689"/>
    <w:rsid w:val="00FB6DF1"/>
    <w:rsid w:val="00FE07AE"/>
    <w:rsid w:val="00FE1F93"/>
    <w:rsid w:val="00FE39ED"/>
    <w:rsid w:val="00FE3E7F"/>
    <w:rsid w:val="04263B7E"/>
    <w:rsid w:val="05071359"/>
    <w:rsid w:val="054122D5"/>
    <w:rsid w:val="06BA3D98"/>
    <w:rsid w:val="06E167CC"/>
    <w:rsid w:val="079C3212"/>
    <w:rsid w:val="08997DA0"/>
    <w:rsid w:val="0B1F3259"/>
    <w:rsid w:val="0B9C4768"/>
    <w:rsid w:val="0C9246F8"/>
    <w:rsid w:val="0D4E734E"/>
    <w:rsid w:val="0D5E7C2F"/>
    <w:rsid w:val="0F4C0279"/>
    <w:rsid w:val="1014110D"/>
    <w:rsid w:val="10217EFD"/>
    <w:rsid w:val="108E06C1"/>
    <w:rsid w:val="10DA175C"/>
    <w:rsid w:val="11CA6C6F"/>
    <w:rsid w:val="13941AC9"/>
    <w:rsid w:val="142A4214"/>
    <w:rsid w:val="146B79CE"/>
    <w:rsid w:val="16CE49D5"/>
    <w:rsid w:val="172A0FDA"/>
    <w:rsid w:val="17654B52"/>
    <w:rsid w:val="179F4E12"/>
    <w:rsid w:val="17CF09B9"/>
    <w:rsid w:val="19061297"/>
    <w:rsid w:val="19C13654"/>
    <w:rsid w:val="1A0F0EFA"/>
    <w:rsid w:val="1A6F21EC"/>
    <w:rsid w:val="1AED3A35"/>
    <w:rsid w:val="1B633F97"/>
    <w:rsid w:val="1B6A1BC5"/>
    <w:rsid w:val="1D7658A8"/>
    <w:rsid w:val="1DBF6037"/>
    <w:rsid w:val="1DD16B48"/>
    <w:rsid w:val="1F0901E1"/>
    <w:rsid w:val="1FD226D2"/>
    <w:rsid w:val="24643B51"/>
    <w:rsid w:val="26FE667A"/>
    <w:rsid w:val="295D4633"/>
    <w:rsid w:val="29BC122C"/>
    <w:rsid w:val="29D771C3"/>
    <w:rsid w:val="2A346453"/>
    <w:rsid w:val="2AB9788D"/>
    <w:rsid w:val="2B0B638D"/>
    <w:rsid w:val="2D51154D"/>
    <w:rsid w:val="2DC408AA"/>
    <w:rsid w:val="2FE94BF0"/>
    <w:rsid w:val="33823AC1"/>
    <w:rsid w:val="33AA367D"/>
    <w:rsid w:val="35957B2F"/>
    <w:rsid w:val="388117C9"/>
    <w:rsid w:val="39F742BD"/>
    <w:rsid w:val="3A991C33"/>
    <w:rsid w:val="3B9737E4"/>
    <w:rsid w:val="3BD15179"/>
    <w:rsid w:val="3C6B3CD0"/>
    <w:rsid w:val="3C7476CC"/>
    <w:rsid w:val="3CB17077"/>
    <w:rsid w:val="3EDB6E11"/>
    <w:rsid w:val="3F37753D"/>
    <w:rsid w:val="3F6B0AAE"/>
    <w:rsid w:val="41D30441"/>
    <w:rsid w:val="42316AE6"/>
    <w:rsid w:val="437A6867"/>
    <w:rsid w:val="44311045"/>
    <w:rsid w:val="470A62D2"/>
    <w:rsid w:val="48773E4F"/>
    <w:rsid w:val="48ED4724"/>
    <w:rsid w:val="4AE507F4"/>
    <w:rsid w:val="4B202007"/>
    <w:rsid w:val="4BE02647"/>
    <w:rsid w:val="4C7864C4"/>
    <w:rsid w:val="4CB50E0F"/>
    <w:rsid w:val="50245AFE"/>
    <w:rsid w:val="50782CE7"/>
    <w:rsid w:val="50AF1410"/>
    <w:rsid w:val="518722C4"/>
    <w:rsid w:val="51B70F33"/>
    <w:rsid w:val="51D75A77"/>
    <w:rsid w:val="51F86959"/>
    <w:rsid w:val="526051DE"/>
    <w:rsid w:val="52954049"/>
    <w:rsid w:val="54823691"/>
    <w:rsid w:val="56E1132F"/>
    <w:rsid w:val="56FA5AED"/>
    <w:rsid w:val="574D2594"/>
    <w:rsid w:val="5C080433"/>
    <w:rsid w:val="5CB3524B"/>
    <w:rsid w:val="5D1D75A7"/>
    <w:rsid w:val="5D4028E8"/>
    <w:rsid w:val="5E523C8B"/>
    <w:rsid w:val="5E5C6B75"/>
    <w:rsid w:val="5EA10771"/>
    <w:rsid w:val="60377E48"/>
    <w:rsid w:val="60C814C9"/>
    <w:rsid w:val="61980DD1"/>
    <w:rsid w:val="61B07DAC"/>
    <w:rsid w:val="626E32BA"/>
    <w:rsid w:val="645E5565"/>
    <w:rsid w:val="669144BC"/>
    <w:rsid w:val="67973718"/>
    <w:rsid w:val="69946D76"/>
    <w:rsid w:val="6A27783F"/>
    <w:rsid w:val="6BBF022A"/>
    <w:rsid w:val="6C821766"/>
    <w:rsid w:val="6EFB4785"/>
    <w:rsid w:val="6F701559"/>
    <w:rsid w:val="70F052C7"/>
    <w:rsid w:val="7108535E"/>
    <w:rsid w:val="71526F7F"/>
    <w:rsid w:val="74FA20F9"/>
    <w:rsid w:val="76242835"/>
    <w:rsid w:val="76BF29EB"/>
    <w:rsid w:val="781A04BE"/>
    <w:rsid w:val="78AC59D2"/>
    <w:rsid w:val="78CE38C5"/>
    <w:rsid w:val="78FE7282"/>
    <w:rsid w:val="7A410ECE"/>
    <w:rsid w:val="7D3858F8"/>
    <w:rsid w:val="7D616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qFormat="1"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jc w:val="both"/>
    </w:pPr>
    <w:rPr>
      <w:rFonts w:ascii="Times New Roman" w:hAnsi="Times New Roman" w:eastAsia="宋体" w:cs="Times New Roman"/>
      <w:kern w:val="1"/>
      <w:sz w:val="28"/>
      <w:lang w:val="en-US" w:eastAsia="zh-CN" w:bidi="ar-SA"/>
    </w:rPr>
  </w:style>
  <w:style w:type="paragraph" w:styleId="3">
    <w:name w:val="heading 1"/>
    <w:basedOn w:val="1"/>
    <w:next w:val="1"/>
    <w:qFormat/>
    <w:uiPriority w:val="99"/>
    <w:pPr>
      <w:keepNext/>
      <w:keepLines/>
      <w:spacing w:before="340" w:after="330" w:line="480" w:lineRule="auto"/>
      <w:outlineLvl w:val="0"/>
    </w:pPr>
    <w:rPr>
      <w:b/>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33"/>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4"/>
    <w:qFormat/>
    <w:uiPriority w:val="0"/>
    <w:pPr>
      <w:keepNext/>
      <w:outlineLvl w:val="3"/>
    </w:pPr>
    <w:rPr>
      <w:kern w:val="2"/>
    </w:rPr>
  </w:style>
  <w:style w:type="character" w:default="1" w:styleId="19">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8948"/>
      </w:tabs>
      <w:spacing w:line="360" w:lineRule="exact"/>
    </w:pPr>
    <w:rPr>
      <w:rFonts w:ascii="宋体" w:hAnsi="宋体" w:cs="宋体"/>
      <w:sz w:val="21"/>
      <w:szCs w:val="44"/>
    </w:rPr>
  </w:style>
  <w:style w:type="paragraph" w:styleId="7">
    <w:name w:val="annotation text"/>
    <w:basedOn w:val="1"/>
    <w:link w:val="27"/>
    <w:qFormat/>
    <w:uiPriority w:val="99"/>
    <w:pPr>
      <w:jc w:val="left"/>
    </w:pPr>
  </w:style>
  <w:style w:type="paragraph" w:styleId="8">
    <w:name w:val="Body Text Indent"/>
    <w:basedOn w:val="1"/>
    <w:qFormat/>
    <w:uiPriority w:val="99"/>
    <w:pPr>
      <w:spacing w:line="480" w:lineRule="exact"/>
      <w:ind w:firstLine="538" w:firstLineChars="192"/>
      <w:jc w:val="left"/>
    </w:pPr>
    <w:rPr>
      <w:rFonts w:ascii="宋体"/>
      <w:kern w:val="2"/>
      <w:szCs w:val="24"/>
    </w:rPr>
  </w:style>
  <w:style w:type="paragraph" w:styleId="9">
    <w:name w:val="Balloon Text"/>
    <w:basedOn w:val="1"/>
    <w:link w:val="26"/>
    <w:qFormat/>
    <w:uiPriority w:val="0"/>
    <w:rPr>
      <w:sz w:val="18"/>
      <w:szCs w:val="18"/>
    </w:rPr>
  </w:style>
  <w:style w:type="paragraph" w:styleId="10">
    <w:name w:val="footer"/>
    <w:basedOn w:val="1"/>
    <w:link w:val="32"/>
    <w:qFormat/>
    <w:uiPriority w:val="99"/>
    <w:pPr>
      <w:tabs>
        <w:tab w:val="center" w:pos="4153"/>
        <w:tab w:val="right" w:pos="8306"/>
      </w:tabs>
      <w:snapToGrid w:val="0"/>
      <w:jc w:val="left"/>
    </w:pPr>
    <w:rPr>
      <w:sz w:val="18"/>
      <w:szCs w:val="18"/>
    </w:rPr>
  </w:style>
  <w:style w:type="paragraph" w:styleId="11">
    <w:name w:val="header"/>
    <w:basedOn w:val="1"/>
    <w:link w:val="31"/>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2">
    <w:name w:val="toc 4"/>
    <w:basedOn w:val="1"/>
    <w:next w:val="1"/>
    <w:semiHidden/>
    <w:unhideWhenUsed/>
    <w:qFormat/>
    <w:uiPriority w:val="0"/>
    <w:pPr>
      <w:ind w:left="1260" w:leftChars="600"/>
    </w:pPr>
  </w:style>
  <w:style w:type="paragraph" w:styleId="13">
    <w:name w:val="toc 2"/>
    <w:basedOn w:val="1"/>
    <w:next w:val="1"/>
    <w:qFormat/>
    <w:uiPriority w:val="39"/>
    <w:pPr>
      <w:ind w:left="420"/>
    </w:pPr>
    <w:rPr>
      <w:rFonts w:ascii="宋体" w:hAnsi="宋体"/>
      <w:bCs/>
      <w:szCs w:val="24"/>
    </w:rPr>
  </w:style>
  <w:style w:type="paragraph" w:styleId="14">
    <w:name w:val="Normal (Web)"/>
    <w:basedOn w:val="1"/>
    <w:semiHidden/>
    <w:unhideWhenUsed/>
    <w:qFormat/>
    <w:uiPriority w:val="0"/>
    <w:rPr>
      <w:sz w:val="24"/>
    </w:rPr>
  </w:style>
  <w:style w:type="paragraph" w:styleId="15">
    <w:name w:val="Title"/>
    <w:basedOn w:val="1"/>
    <w:next w:val="1"/>
    <w:link w:val="35"/>
    <w:qFormat/>
    <w:uiPriority w:val="0"/>
    <w:pPr>
      <w:spacing w:before="240" w:after="60"/>
      <w:jc w:val="center"/>
      <w:outlineLvl w:val="0"/>
    </w:pPr>
    <w:rPr>
      <w:rFonts w:ascii="Cambria" w:hAnsi="Cambria"/>
      <w:b/>
      <w:bCs/>
      <w:kern w:val="2"/>
      <w:sz w:val="32"/>
      <w:szCs w:val="32"/>
    </w:rPr>
  </w:style>
  <w:style w:type="paragraph" w:styleId="16">
    <w:name w:val="annotation subject"/>
    <w:basedOn w:val="7"/>
    <w:next w:val="7"/>
    <w:link w:val="28"/>
    <w:qFormat/>
    <w:uiPriority w:val="99"/>
    <w:rPr>
      <w:b/>
      <w:bCs/>
    </w:rPr>
  </w:style>
  <w:style w:type="table" w:styleId="18">
    <w:name w:val="Table Grid"/>
    <w:basedOn w:val="17"/>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Hyperlink"/>
    <w:qFormat/>
    <w:uiPriority w:val="99"/>
    <w:rPr>
      <w:color w:val="000000"/>
    </w:rPr>
  </w:style>
  <w:style w:type="character" w:styleId="21">
    <w:name w:val="annotation reference"/>
    <w:qFormat/>
    <w:uiPriority w:val="99"/>
    <w:rPr>
      <w:sz w:val="21"/>
      <w:szCs w:val="21"/>
    </w:rPr>
  </w:style>
  <w:style w:type="paragraph" w:customStyle="1" w:styleId="22">
    <w:name w:val="纯文本1"/>
    <w:basedOn w:val="1"/>
    <w:qFormat/>
    <w:uiPriority w:val="0"/>
    <w:rPr>
      <w:rFonts w:ascii="宋体" w:hAnsi="宋体" w:cs="Courier New"/>
      <w:sz w:val="21"/>
    </w:rPr>
  </w:style>
  <w:style w:type="paragraph" w:customStyle="1" w:styleId="23">
    <w:name w:val="列出段落1"/>
    <w:basedOn w:val="1"/>
    <w:link w:val="30"/>
    <w:qFormat/>
    <w:uiPriority w:val="34"/>
    <w:pPr>
      <w:ind w:firstLine="200"/>
    </w:pPr>
    <w:rPr>
      <w:rFonts w:ascii="Calibri" w:hAnsi="Calibri"/>
      <w:sz w:val="21"/>
      <w:szCs w:val="22"/>
    </w:rPr>
  </w:style>
  <w:style w:type="paragraph" w:customStyle="1" w:styleId="24">
    <w:name w:val="列出段落2"/>
    <w:basedOn w:val="1"/>
    <w:unhideWhenUsed/>
    <w:qFormat/>
    <w:uiPriority w:val="99"/>
    <w:pPr>
      <w:ind w:firstLine="420" w:firstLineChars="200"/>
    </w:pPr>
  </w:style>
  <w:style w:type="paragraph" w:customStyle="1" w:styleId="2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26">
    <w:name w:val="批注框文本 Char"/>
    <w:link w:val="9"/>
    <w:qFormat/>
    <w:uiPriority w:val="0"/>
    <w:rPr>
      <w:kern w:val="1"/>
      <w:sz w:val="18"/>
      <w:szCs w:val="18"/>
    </w:rPr>
  </w:style>
  <w:style w:type="character" w:customStyle="1" w:styleId="27">
    <w:name w:val="批注文字 Char"/>
    <w:link w:val="7"/>
    <w:qFormat/>
    <w:uiPriority w:val="99"/>
    <w:rPr>
      <w:kern w:val="1"/>
      <w:sz w:val="28"/>
    </w:rPr>
  </w:style>
  <w:style w:type="character" w:customStyle="1" w:styleId="28">
    <w:name w:val="批注主题 Char"/>
    <w:link w:val="16"/>
    <w:qFormat/>
    <w:uiPriority w:val="99"/>
    <w:rPr>
      <w:b/>
      <w:bCs/>
      <w:kern w:val="1"/>
      <w:sz w:val="28"/>
    </w:rPr>
  </w:style>
  <w:style w:type="character" w:customStyle="1" w:styleId="29">
    <w:name w:val="WW8Num3z8"/>
    <w:qFormat/>
    <w:uiPriority w:val="3"/>
  </w:style>
  <w:style w:type="character" w:customStyle="1" w:styleId="30">
    <w:name w:val="列出段落 Char"/>
    <w:link w:val="23"/>
    <w:qFormat/>
    <w:uiPriority w:val="99"/>
    <w:rPr>
      <w:rFonts w:ascii="Calibri" w:hAnsi="Calibri"/>
      <w:kern w:val="1"/>
      <w:sz w:val="21"/>
      <w:szCs w:val="22"/>
    </w:rPr>
  </w:style>
  <w:style w:type="character" w:customStyle="1" w:styleId="31">
    <w:name w:val="页眉 Char"/>
    <w:link w:val="11"/>
    <w:qFormat/>
    <w:uiPriority w:val="99"/>
    <w:rPr>
      <w:kern w:val="1"/>
      <w:sz w:val="18"/>
      <w:szCs w:val="18"/>
    </w:rPr>
  </w:style>
  <w:style w:type="character" w:customStyle="1" w:styleId="32">
    <w:name w:val="页脚 Char"/>
    <w:link w:val="10"/>
    <w:qFormat/>
    <w:uiPriority w:val="99"/>
    <w:rPr>
      <w:kern w:val="1"/>
      <w:sz w:val="18"/>
      <w:szCs w:val="18"/>
    </w:rPr>
  </w:style>
  <w:style w:type="character" w:customStyle="1" w:styleId="33">
    <w:name w:val="标题 3 Char"/>
    <w:link w:val="5"/>
    <w:semiHidden/>
    <w:qFormat/>
    <w:uiPriority w:val="0"/>
    <w:rPr>
      <w:b/>
      <w:bCs/>
      <w:kern w:val="1"/>
      <w:sz w:val="32"/>
      <w:szCs w:val="32"/>
    </w:rPr>
  </w:style>
  <w:style w:type="character" w:customStyle="1" w:styleId="34">
    <w:name w:val="标题 4 Char"/>
    <w:link w:val="6"/>
    <w:qFormat/>
    <w:uiPriority w:val="0"/>
    <w:rPr>
      <w:kern w:val="2"/>
      <w:sz w:val="28"/>
    </w:rPr>
  </w:style>
  <w:style w:type="character" w:customStyle="1" w:styleId="35">
    <w:name w:val="标题 Char"/>
    <w:link w:val="15"/>
    <w:qFormat/>
    <w:uiPriority w:val="0"/>
    <w:rPr>
      <w:rFonts w:ascii="Cambria" w:hAnsi="Cambria"/>
      <w:b/>
      <w:bCs/>
      <w:kern w:val="2"/>
      <w:sz w:val="32"/>
      <w:szCs w:val="32"/>
    </w:rPr>
  </w:style>
  <w:style w:type="character" w:customStyle="1" w:styleId="36">
    <w:name w:val="楷体 (中文) 楷体"/>
    <w:qFormat/>
    <w:uiPriority w:val="0"/>
    <w:rPr>
      <w:rFonts w:ascii="楷体" w:hAnsi="楷体" w:eastAsia="楷体"/>
      <w:kern w:val="1"/>
      <w:sz w:val="28"/>
    </w:rPr>
  </w:style>
  <w:style w:type="paragraph" w:customStyle="1" w:styleId="37">
    <w:name w:val="修订1"/>
    <w:hidden/>
    <w:semiHidden/>
    <w:qFormat/>
    <w:uiPriority w:val="99"/>
    <w:rPr>
      <w:rFonts w:ascii="Times New Roman" w:hAnsi="Times New Roman" w:eastAsia="宋体" w:cs="Times New Roman"/>
      <w:kern w:val="1"/>
      <w:sz w:val="28"/>
      <w:lang w:val="en-US" w:eastAsia="zh-CN" w:bidi="ar-SA"/>
    </w:rPr>
  </w:style>
  <w:style w:type="paragraph" w:customStyle="1" w:styleId="38">
    <w:name w:val="TOC 标题1"/>
    <w:basedOn w:val="3"/>
    <w:next w:val="1"/>
    <w:unhideWhenUsed/>
    <w:qFormat/>
    <w:uiPriority w:val="39"/>
    <w:pPr>
      <w:widowControl/>
      <w:suppressAutoHyphens w:val="0"/>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39">
    <w:name w:val="样式 仿宋"/>
    <w:qFormat/>
    <w:uiPriority w:val="0"/>
    <w:rPr>
      <w:rFonts w:ascii="仿宋" w:hAnsi="仿宋" w:eastAsia="仿宋"/>
      <w:kern w:val="1"/>
    </w:rPr>
  </w:style>
  <w:style w:type="paragraph" w:customStyle="1" w:styleId="40">
    <w:name w:val="列出段落11"/>
    <w:basedOn w:val="1"/>
    <w:qFormat/>
    <w:uiPriority w:val="34"/>
    <w:pPr>
      <w:ind w:firstLine="420" w:firstLineChars="200"/>
    </w:pPr>
    <w:rPr>
      <w:rFonts w:ascii="Calibri" w:hAnsi="Calibri"/>
    </w:rPr>
  </w:style>
  <w:style w:type="character" w:customStyle="1" w:styleId="41">
    <w:name w:val="font31"/>
    <w:basedOn w:val="19"/>
    <w:qFormat/>
    <w:uiPriority w:val="0"/>
    <w:rPr>
      <w:rFonts w:hint="eastAsia" w:ascii="宋体" w:hAnsi="宋体" w:eastAsia="宋体" w:cs="宋体"/>
      <w:color w:val="000000"/>
      <w:sz w:val="20"/>
      <w:szCs w:val="20"/>
      <w:u w:val="none"/>
      <w:vertAlign w:val="superscript"/>
    </w:rPr>
  </w:style>
  <w:style w:type="paragraph" w:styleId="42">
    <w:name w:val="List Paragraph"/>
    <w:basedOn w:val="1"/>
    <w:qFormat/>
    <w:uiPriority w:val="34"/>
    <w:pPr>
      <w:ind w:firstLine="420" w:firstLineChars="200"/>
    </w:pPr>
  </w:style>
  <w:style w:type="paragraph" w:customStyle="1" w:styleId="43">
    <w:name w:val="p0"/>
    <w:basedOn w:val="1"/>
    <w:qFormat/>
    <w:uiPriority w:val="0"/>
    <w:pPr>
      <w:widowControl/>
    </w:pPr>
    <w:rPr>
      <w:kern w:val="0"/>
      <w:szCs w:val="21"/>
    </w:rPr>
  </w:style>
  <w:style w:type="character" w:customStyle="1" w:styleId="44">
    <w:name w:val="font41"/>
    <w:basedOn w:val="19"/>
    <w:qFormat/>
    <w:uiPriority w:val="0"/>
    <w:rPr>
      <w:rFonts w:hint="eastAsia" w:ascii="宋体" w:hAnsi="宋体" w:eastAsia="宋体" w:cs="宋体"/>
      <w:color w:val="000000"/>
      <w:sz w:val="22"/>
      <w:szCs w:val="22"/>
      <w:u w:val="none"/>
    </w:rPr>
  </w:style>
  <w:style w:type="character" w:customStyle="1" w:styleId="45">
    <w:name w:val="font11"/>
    <w:basedOn w:val="19"/>
    <w:qFormat/>
    <w:uiPriority w:val="0"/>
    <w:rPr>
      <w:rFonts w:hint="eastAsia" w:ascii="宋体" w:hAnsi="宋体" w:eastAsia="宋体" w:cs="宋体"/>
      <w:color w:val="000000"/>
      <w:sz w:val="22"/>
      <w:szCs w:val="22"/>
      <w:u w:val="none"/>
      <w:vertAlign w:val="superscript"/>
    </w:rPr>
  </w:style>
  <w:style w:type="character" w:customStyle="1" w:styleId="46">
    <w:name w:val="font0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D92797-5C3C-4276-9620-379C8F2BAA2D}">
  <ds:schemaRefs/>
</ds:datastoreItem>
</file>

<file path=docProps/app.xml><?xml version="1.0" encoding="utf-8"?>
<Properties xmlns="http://schemas.openxmlformats.org/officeDocument/2006/extended-properties" xmlns:vt="http://schemas.openxmlformats.org/officeDocument/2006/docPropsVTypes">
  <Template>Normal</Template>
  <Pages>45</Pages>
  <Words>3723</Words>
  <Characters>21222</Characters>
  <Lines>176</Lines>
  <Paragraphs>49</Paragraphs>
  <TotalTime>66</TotalTime>
  <ScaleCrop>false</ScaleCrop>
  <LinksUpToDate>false</LinksUpToDate>
  <CharactersWithSpaces>24896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2019-04-28T06:55:00Z</dcterms:created>
  <dc:creator>Administrator</dc:creator>
  <cp:lastModifiedBy>MSQ</cp:lastModifiedBy>
  <dcterms:modified xsi:type="dcterms:W3CDTF">2019-06-29T03:59:49Z</dcterms:modified>
  <dc:title>山东科技大学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